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3FCC1" w14:textId="77777777" w:rsidR="00911C5F" w:rsidRPr="00152F73" w:rsidRDefault="009D7E8F">
      <w:pPr>
        <w:pStyle w:val="BodyText"/>
        <w:ind w:left="3959"/>
        <w:rPr>
          <w:rFonts w:ascii="Times New Roman"/>
        </w:rPr>
      </w:pPr>
      <w:r w:rsidRPr="00152F73">
        <w:rPr>
          <w:rFonts w:ascii="Times New Roman"/>
          <w:noProof/>
          <w:lang w:val="en-GB" w:eastAsia="en-GB"/>
        </w:rPr>
        <w:drawing>
          <wp:inline distT="0" distB="0" distL="0" distR="0" wp14:anchorId="3DB0D368" wp14:editId="43AB1B0B">
            <wp:extent cx="842932" cy="9646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42932" cy="964692"/>
                    </a:xfrm>
                    <a:prstGeom prst="rect">
                      <a:avLst/>
                    </a:prstGeom>
                  </pic:spPr>
                </pic:pic>
              </a:graphicData>
            </a:graphic>
          </wp:inline>
        </w:drawing>
      </w:r>
    </w:p>
    <w:p w14:paraId="59D43DCC" w14:textId="77777777" w:rsidR="00911C5F" w:rsidRPr="00152F73" w:rsidRDefault="00911C5F">
      <w:pPr>
        <w:pStyle w:val="BodyText"/>
        <w:rPr>
          <w:rFonts w:ascii="Times New Roman"/>
          <w:sz w:val="21"/>
        </w:rPr>
      </w:pPr>
    </w:p>
    <w:p w14:paraId="3E53921A" w14:textId="77777777" w:rsidR="00911C5F" w:rsidRPr="00152F73" w:rsidRDefault="009D7E8F">
      <w:pPr>
        <w:pStyle w:val="Heading1"/>
      </w:pPr>
      <w:r w:rsidRPr="00152F73">
        <w:t>SPAGG</w:t>
      </w:r>
    </w:p>
    <w:p w14:paraId="2718C4DE" w14:textId="77777777" w:rsidR="00911C5F" w:rsidRPr="00152F73" w:rsidRDefault="009D7E8F">
      <w:pPr>
        <w:spacing w:before="179"/>
        <w:ind w:left="97" w:right="1434"/>
        <w:jc w:val="center"/>
        <w:rPr>
          <w:rFonts w:ascii="Arial"/>
          <w:b/>
        </w:rPr>
      </w:pPr>
      <w:r w:rsidRPr="00152F73">
        <w:rPr>
          <w:rFonts w:ascii="Arial"/>
          <w:b/>
        </w:rPr>
        <w:t>Coversheet for Specialist Palliative Audit and Guideline Group Agreed Documentation</w:t>
      </w:r>
    </w:p>
    <w:p w14:paraId="7C452ED1" w14:textId="77777777" w:rsidR="00911C5F" w:rsidRPr="00152F73" w:rsidRDefault="009D7E8F">
      <w:pPr>
        <w:pStyle w:val="Heading2"/>
        <w:spacing w:before="184" w:line="259" w:lineRule="auto"/>
        <w:ind w:left="124" w:right="1457" w:hanging="6"/>
        <w:jc w:val="center"/>
        <w:rPr>
          <w:rFonts w:ascii="Arial"/>
        </w:rPr>
      </w:pPr>
      <w:r w:rsidRPr="00152F73">
        <w:rPr>
          <w:rFonts w:ascii="Arial"/>
        </w:rPr>
        <w:t>This sheet is to accompany all documentation agreed by SPAGG. This will assist maintenance of the guidelines as well as demonstrating the governance process undertaken prior to members seeking local approval in their areas of work.</w:t>
      </w:r>
    </w:p>
    <w:p w14:paraId="052214A5" w14:textId="77777777" w:rsidR="00911C5F" w:rsidRPr="00152F73" w:rsidRDefault="00911C5F">
      <w:pPr>
        <w:pStyle w:val="BodyText"/>
        <w:spacing w:after="1"/>
        <w:rPr>
          <w:rFonts w:ascii="Arial"/>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1883"/>
        <w:gridCol w:w="5680"/>
      </w:tblGrid>
      <w:tr w:rsidR="00152F73" w:rsidRPr="00152F73" w14:paraId="48B951E3" w14:textId="77777777">
        <w:trPr>
          <w:trHeight w:val="705"/>
        </w:trPr>
        <w:tc>
          <w:tcPr>
            <w:tcW w:w="2809" w:type="dxa"/>
          </w:tcPr>
          <w:p w14:paraId="077EB637" w14:textId="77777777" w:rsidR="00911C5F" w:rsidRPr="00152F73" w:rsidRDefault="009D7E8F">
            <w:pPr>
              <w:pStyle w:val="TableParagraph"/>
              <w:spacing w:line="249" w:lineRule="exact"/>
              <w:rPr>
                <w:b/>
              </w:rPr>
            </w:pPr>
            <w:r w:rsidRPr="00152F73">
              <w:rPr>
                <w:b/>
              </w:rPr>
              <w:t>Document Title</w:t>
            </w:r>
          </w:p>
        </w:tc>
        <w:tc>
          <w:tcPr>
            <w:tcW w:w="7563" w:type="dxa"/>
            <w:gridSpan w:val="2"/>
          </w:tcPr>
          <w:p w14:paraId="23211F45" w14:textId="77777777" w:rsidR="00911C5F" w:rsidRPr="00152F73" w:rsidRDefault="009D7E8F">
            <w:pPr>
              <w:pStyle w:val="TableParagraph"/>
              <w:spacing w:line="259" w:lineRule="auto"/>
              <w:ind w:right="30"/>
              <w:rPr>
                <w:b/>
              </w:rPr>
            </w:pPr>
            <w:r w:rsidRPr="00152F73">
              <w:rPr>
                <w:b/>
              </w:rPr>
              <w:t>Guidelines for the use of subcutaneous parecoxib in palliative patients with cancer pain</w:t>
            </w:r>
          </w:p>
        </w:tc>
      </w:tr>
      <w:tr w:rsidR="00152F73" w:rsidRPr="00152F73" w14:paraId="333B8314" w14:textId="77777777">
        <w:trPr>
          <w:trHeight w:val="433"/>
        </w:trPr>
        <w:tc>
          <w:tcPr>
            <w:tcW w:w="2809" w:type="dxa"/>
          </w:tcPr>
          <w:p w14:paraId="088757AC" w14:textId="77777777" w:rsidR="00911C5F" w:rsidRPr="00152F73" w:rsidRDefault="009D7E8F">
            <w:pPr>
              <w:pStyle w:val="TableParagraph"/>
              <w:rPr>
                <w:b/>
              </w:rPr>
            </w:pPr>
            <w:r w:rsidRPr="00152F73">
              <w:rPr>
                <w:b/>
              </w:rPr>
              <w:t>Document Date</w:t>
            </w:r>
          </w:p>
        </w:tc>
        <w:tc>
          <w:tcPr>
            <w:tcW w:w="7563" w:type="dxa"/>
            <w:gridSpan w:val="2"/>
          </w:tcPr>
          <w:p w14:paraId="4B3B0BAB" w14:textId="670EFF41" w:rsidR="00911C5F" w:rsidRPr="00152F73" w:rsidRDefault="009D7E8F">
            <w:pPr>
              <w:pStyle w:val="TableParagraph"/>
              <w:spacing w:line="250" w:lineRule="exact"/>
            </w:pPr>
            <w:r w:rsidRPr="00152F73">
              <w:t xml:space="preserve">March </w:t>
            </w:r>
            <w:r w:rsidR="001652A4" w:rsidRPr="00152F73">
              <w:t>2024</w:t>
            </w:r>
          </w:p>
        </w:tc>
      </w:tr>
      <w:tr w:rsidR="00152F73" w:rsidRPr="00152F73" w14:paraId="44D713C7" w14:textId="77777777">
        <w:trPr>
          <w:trHeight w:val="890"/>
        </w:trPr>
        <w:tc>
          <w:tcPr>
            <w:tcW w:w="2809" w:type="dxa"/>
          </w:tcPr>
          <w:p w14:paraId="0D205595" w14:textId="77777777" w:rsidR="00911C5F" w:rsidRPr="00152F73" w:rsidRDefault="009D7E8F">
            <w:pPr>
              <w:pStyle w:val="TableParagraph"/>
              <w:spacing w:line="259" w:lineRule="auto"/>
              <w:rPr>
                <w:b/>
              </w:rPr>
            </w:pPr>
            <w:r w:rsidRPr="00152F73">
              <w:rPr>
                <w:b/>
              </w:rPr>
              <w:t>Document Purpose and Intended Audience</w:t>
            </w:r>
          </w:p>
        </w:tc>
        <w:tc>
          <w:tcPr>
            <w:tcW w:w="7563" w:type="dxa"/>
            <w:gridSpan w:val="2"/>
          </w:tcPr>
          <w:p w14:paraId="2C7FFB43" w14:textId="77777777" w:rsidR="00911C5F" w:rsidRPr="00152F73" w:rsidRDefault="009D7E8F">
            <w:pPr>
              <w:pStyle w:val="TableParagraph"/>
              <w:spacing w:line="259" w:lineRule="auto"/>
              <w:ind w:right="42"/>
            </w:pPr>
            <w:r w:rsidRPr="00152F73">
              <w:t>This guideline provides information about the use of subcutaneous parecoxib in palliative care patients for cancer pain</w:t>
            </w:r>
          </w:p>
        </w:tc>
      </w:tr>
      <w:tr w:rsidR="00152F73" w:rsidRPr="00152F73" w14:paraId="46A90D1F" w14:textId="77777777">
        <w:trPr>
          <w:trHeight w:val="772"/>
        </w:trPr>
        <w:tc>
          <w:tcPr>
            <w:tcW w:w="2809" w:type="dxa"/>
          </w:tcPr>
          <w:p w14:paraId="0A1E9C5A" w14:textId="77777777" w:rsidR="00911C5F" w:rsidRPr="00152F73" w:rsidRDefault="009D7E8F">
            <w:pPr>
              <w:pStyle w:val="TableParagraph"/>
              <w:rPr>
                <w:b/>
              </w:rPr>
            </w:pPr>
            <w:r w:rsidRPr="00152F73">
              <w:rPr>
                <w:b/>
              </w:rPr>
              <w:t>Authors</w:t>
            </w:r>
          </w:p>
        </w:tc>
        <w:tc>
          <w:tcPr>
            <w:tcW w:w="7563" w:type="dxa"/>
            <w:gridSpan w:val="2"/>
          </w:tcPr>
          <w:p w14:paraId="5360E11E" w14:textId="77777777" w:rsidR="00911C5F" w:rsidRPr="00152F73" w:rsidRDefault="009D7E8F">
            <w:pPr>
              <w:pStyle w:val="TableParagraph"/>
              <w:spacing w:line="250" w:lineRule="exact"/>
            </w:pPr>
            <w:r w:rsidRPr="00152F73">
              <w:t>Dr Nadia Khan</w:t>
            </w:r>
          </w:p>
        </w:tc>
      </w:tr>
      <w:tr w:rsidR="00152F73" w:rsidRPr="00152F73" w14:paraId="1BF548FA" w14:textId="77777777">
        <w:trPr>
          <w:trHeight w:val="631"/>
        </w:trPr>
        <w:tc>
          <w:tcPr>
            <w:tcW w:w="2809" w:type="dxa"/>
          </w:tcPr>
          <w:p w14:paraId="5E693434" w14:textId="77777777" w:rsidR="00911C5F" w:rsidRPr="00152F73" w:rsidRDefault="009D7E8F">
            <w:pPr>
              <w:pStyle w:val="TableParagraph"/>
              <w:rPr>
                <w:b/>
              </w:rPr>
            </w:pPr>
            <w:r w:rsidRPr="00152F73">
              <w:rPr>
                <w:b/>
              </w:rPr>
              <w:t>References</w:t>
            </w:r>
          </w:p>
        </w:tc>
        <w:tc>
          <w:tcPr>
            <w:tcW w:w="7563" w:type="dxa"/>
            <w:gridSpan w:val="2"/>
          </w:tcPr>
          <w:p w14:paraId="050495D9" w14:textId="77777777" w:rsidR="00911C5F" w:rsidRPr="00152F73" w:rsidRDefault="009D7E8F">
            <w:pPr>
              <w:pStyle w:val="TableParagraph"/>
              <w:spacing w:line="250" w:lineRule="exact"/>
            </w:pPr>
            <w:r w:rsidRPr="00152F73">
              <w:t>At end of document</w:t>
            </w:r>
          </w:p>
        </w:tc>
      </w:tr>
      <w:tr w:rsidR="00152F73" w:rsidRPr="00152F73" w14:paraId="10DE65F1" w14:textId="77777777">
        <w:trPr>
          <w:trHeight w:val="767"/>
        </w:trPr>
        <w:tc>
          <w:tcPr>
            <w:tcW w:w="2809" w:type="dxa"/>
          </w:tcPr>
          <w:p w14:paraId="2BFD5991" w14:textId="77777777" w:rsidR="00911C5F" w:rsidRPr="00152F73" w:rsidRDefault="009D7E8F">
            <w:pPr>
              <w:pStyle w:val="TableParagraph"/>
              <w:spacing w:line="250" w:lineRule="exact"/>
              <w:rPr>
                <w:b/>
              </w:rPr>
            </w:pPr>
            <w:r w:rsidRPr="00152F73">
              <w:rPr>
                <w:b/>
              </w:rPr>
              <w:t>Consultation Process</w:t>
            </w:r>
          </w:p>
        </w:tc>
        <w:tc>
          <w:tcPr>
            <w:tcW w:w="7563" w:type="dxa"/>
            <w:gridSpan w:val="2"/>
          </w:tcPr>
          <w:p w14:paraId="3161D2BD" w14:textId="77777777" w:rsidR="00911C5F" w:rsidRPr="00152F73" w:rsidRDefault="009D7E8F">
            <w:pPr>
              <w:pStyle w:val="TableParagraph"/>
              <w:spacing w:line="240" w:lineRule="auto"/>
            </w:pPr>
            <w:r w:rsidRPr="00152F73">
              <w:t>Discussed and ratified at SPAGG</w:t>
            </w:r>
          </w:p>
        </w:tc>
      </w:tr>
      <w:tr w:rsidR="00152F73" w:rsidRPr="00152F73" w14:paraId="49B84F4A" w14:textId="77777777">
        <w:trPr>
          <w:trHeight w:val="623"/>
        </w:trPr>
        <w:tc>
          <w:tcPr>
            <w:tcW w:w="2809" w:type="dxa"/>
          </w:tcPr>
          <w:p w14:paraId="3EF99AC1" w14:textId="77777777" w:rsidR="00911C5F" w:rsidRPr="00152F73" w:rsidRDefault="009D7E8F">
            <w:pPr>
              <w:pStyle w:val="TableParagraph"/>
              <w:rPr>
                <w:b/>
              </w:rPr>
            </w:pPr>
            <w:r w:rsidRPr="00152F73">
              <w:rPr>
                <w:b/>
              </w:rPr>
              <w:t>Monitoring</w:t>
            </w:r>
          </w:p>
        </w:tc>
        <w:tc>
          <w:tcPr>
            <w:tcW w:w="7563" w:type="dxa"/>
            <w:gridSpan w:val="2"/>
          </w:tcPr>
          <w:p w14:paraId="08B2AD8A" w14:textId="77777777" w:rsidR="00911C5F" w:rsidRPr="00152F73" w:rsidRDefault="009D7E8F">
            <w:pPr>
              <w:pStyle w:val="TableParagraph"/>
              <w:spacing w:line="250" w:lineRule="exact"/>
            </w:pPr>
            <w:r w:rsidRPr="00152F73">
              <w:t>Review by SPAGG</w:t>
            </w:r>
          </w:p>
        </w:tc>
      </w:tr>
      <w:tr w:rsidR="00152F73" w:rsidRPr="00152F73" w14:paraId="616AB89C" w14:textId="77777777">
        <w:trPr>
          <w:trHeight w:val="434"/>
        </w:trPr>
        <w:tc>
          <w:tcPr>
            <w:tcW w:w="2809" w:type="dxa"/>
          </w:tcPr>
          <w:p w14:paraId="3EC6A0A6" w14:textId="77777777" w:rsidR="00911C5F" w:rsidRPr="00152F73" w:rsidRDefault="009D7E8F">
            <w:pPr>
              <w:pStyle w:val="TableParagraph"/>
              <w:rPr>
                <w:b/>
              </w:rPr>
            </w:pPr>
            <w:r w:rsidRPr="00152F73">
              <w:rPr>
                <w:b/>
              </w:rPr>
              <w:t>Review Date</w:t>
            </w:r>
          </w:p>
        </w:tc>
        <w:tc>
          <w:tcPr>
            <w:tcW w:w="7563" w:type="dxa"/>
            <w:gridSpan w:val="2"/>
          </w:tcPr>
          <w:p w14:paraId="650DE72E" w14:textId="7CB157B4" w:rsidR="00911C5F" w:rsidRPr="00152F73" w:rsidRDefault="00152F73">
            <w:pPr>
              <w:pStyle w:val="TableParagraph"/>
              <w:spacing w:line="250" w:lineRule="exact"/>
            </w:pPr>
            <w:r>
              <w:t xml:space="preserve">March 2027 </w:t>
            </w:r>
          </w:p>
        </w:tc>
      </w:tr>
      <w:tr w:rsidR="00152F73" w:rsidRPr="00152F73" w14:paraId="03DAAC1D" w14:textId="77777777">
        <w:trPr>
          <w:trHeight w:val="342"/>
        </w:trPr>
        <w:tc>
          <w:tcPr>
            <w:tcW w:w="2809" w:type="dxa"/>
            <w:tcBorders>
              <w:bottom w:val="nil"/>
            </w:tcBorders>
          </w:tcPr>
          <w:p w14:paraId="56391DE6" w14:textId="77777777" w:rsidR="00911C5F" w:rsidRPr="00152F73" w:rsidRDefault="009D7E8F">
            <w:pPr>
              <w:pStyle w:val="TableParagraph"/>
              <w:rPr>
                <w:b/>
              </w:rPr>
            </w:pPr>
            <w:r w:rsidRPr="00152F73">
              <w:rPr>
                <w:b/>
              </w:rPr>
              <w:t>Approval Signatures:</w:t>
            </w:r>
          </w:p>
        </w:tc>
        <w:tc>
          <w:tcPr>
            <w:tcW w:w="7563" w:type="dxa"/>
            <w:gridSpan w:val="2"/>
            <w:tcBorders>
              <w:bottom w:val="nil"/>
            </w:tcBorders>
          </w:tcPr>
          <w:p w14:paraId="683CE99A" w14:textId="77777777" w:rsidR="00911C5F" w:rsidRPr="00152F73" w:rsidRDefault="00911C5F">
            <w:pPr>
              <w:pStyle w:val="TableParagraph"/>
              <w:spacing w:line="240" w:lineRule="auto"/>
              <w:ind w:left="0"/>
              <w:rPr>
                <w:rFonts w:ascii="Times New Roman"/>
              </w:rPr>
            </w:pPr>
          </w:p>
        </w:tc>
      </w:tr>
      <w:tr w:rsidR="00152F73" w:rsidRPr="00152F73" w14:paraId="6E8C0622" w14:textId="77777777">
        <w:trPr>
          <w:trHeight w:val="434"/>
        </w:trPr>
        <w:tc>
          <w:tcPr>
            <w:tcW w:w="2809" w:type="dxa"/>
            <w:tcBorders>
              <w:top w:val="nil"/>
              <w:bottom w:val="nil"/>
            </w:tcBorders>
          </w:tcPr>
          <w:p w14:paraId="77098EFA" w14:textId="77777777" w:rsidR="00911C5F" w:rsidRPr="00152F73" w:rsidRDefault="009D7E8F">
            <w:pPr>
              <w:pStyle w:val="TableParagraph"/>
              <w:spacing w:before="87" w:line="240" w:lineRule="auto"/>
            </w:pPr>
            <w:r w:rsidRPr="00152F73">
              <w:t>SPAGG chair</w:t>
            </w:r>
          </w:p>
        </w:tc>
        <w:tc>
          <w:tcPr>
            <w:tcW w:w="7563" w:type="dxa"/>
            <w:gridSpan w:val="2"/>
            <w:tcBorders>
              <w:top w:val="nil"/>
              <w:bottom w:val="nil"/>
            </w:tcBorders>
          </w:tcPr>
          <w:p w14:paraId="44BF00BC" w14:textId="77777777" w:rsidR="00911C5F" w:rsidRPr="00152F73" w:rsidRDefault="009D7E8F">
            <w:pPr>
              <w:pStyle w:val="TableParagraph"/>
              <w:spacing w:before="87" w:line="240" w:lineRule="auto"/>
            </w:pPr>
            <w:r w:rsidRPr="00152F73">
              <w:t>Dr Jon Tomas</w:t>
            </w:r>
          </w:p>
        </w:tc>
      </w:tr>
      <w:tr w:rsidR="00152F73" w:rsidRPr="00152F73" w14:paraId="16937207" w14:textId="77777777">
        <w:trPr>
          <w:trHeight w:val="433"/>
        </w:trPr>
        <w:tc>
          <w:tcPr>
            <w:tcW w:w="2809" w:type="dxa"/>
            <w:tcBorders>
              <w:top w:val="nil"/>
              <w:bottom w:val="nil"/>
            </w:tcBorders>
          </w:tcPr>
          <w:p w14:paraId="0CD43E64" w14:textId="77777777" w:rsidR="00911C5F" w:rsidRPr="00152F73" w:rsidRDefault="009D7E8F">
            <w:pPr>
              <w:pStyle w:val="TableParagraph"/>
              <w:spacing w:before="87" w:line="240" w:lineRule="auto"/>
            </w:pPr>
            <w:r w:rsidRPr="00152F73">
              <w:t>SPAGG deputy chair</w:t>
            </w:r>
          </w:p>
        </w:tc>
        <w:tc>
          <w:tcPr>
            <w:tcW w:w="7563" w:type="dxa"/>
            <w:gridSpan w:val="2"/>
            <w:tcBorders>
              <w:top w:val="nil"/>
              <w:bottom w:val="nil"/>
            </w:tcBorders>
          </w:tcPr>
          <w:p w14:paraId="456A3581" w14:textId="77777777" w:rsidR="00911C5F" w:rsidRPr="00152F73" w:rsidRDefault="00911C5F">
            <w:pPr>
              <w:pStyle w:val="TableParagraph"/>
              <w:spacing w:line="240" w:lineRule="auto"/>
              <w:ind w:left="0"/>
              <w:rPr>
                <w:rFonts w:ascii="Times New Roman"/>
              </w:rPr>
            </w:pPr>
          </w:p>
        </w:tc>
      </w:tr>
      <w:tr w:rsidR="00152F73" w:rsidRPr="00152F73" w14:paraId="5DECC066" w14:textId="77777777">
        <w:trPr>
          <w:trHeight w:val="521"/>
        </w:trPr>
        <w:tc>
          <w:tcPr>
            <w:tcW w:w="2809" w:type="dxa"/>
            <w:tcBorders>
              <w:top w:val="nil"/>
              <w:bottom w:val="single" w:sz="48" w:space="0" w:color="000000"/>
            </w:tcBorders>
          </w:tcPr>
          <w:p w14:paraId="318A3A0E" w14:textId="77777777" w:rsidR="00911C5F" w:rsidRPr="00152F73" w:rsidRDefault="009D7E8F">
            <w:pPr>
              <w:pStyle w:val="TableParagraph"/>
              <w:spacing w:before="86" w:line="240" w:lineRule="auto"/>
            </w:pPr>
            <w:r w:rsidRPr="00152F73">
              <w:t>SPAGG secretary</w:t>
            </w:r>
          </w:p>
        </w:tc>
        <w:tc>
          <w:tcPr>
            <w:tcW w:w="7563" w:type="dxa"/>
            <w:gridSpan w:val="2"/>
            <w:tcBorders>
              <w:top w:val="nil"/>
              <w:bottom w:val="single" w:sz="48" w:space="0" w:color="000000"/>
            </w:tcBorders>
          </w:tcPr>
          <w:p w14:paraId="1EE1F7D1" w14:textId="3A7E986A" w:rsidR="00911C5F" w:rsidRPr="00152F73" w:rsidRDefault="00152F73">
            <w:pPr>
              <w:pStyle w:val="TableParagraph"/>
              <w:spacing w:before="86" w:line="240" w:lineRule="auto"/>
            </w:pPr>
            <w:r>
              <w:t xml:space="preserve">Dr Alice Martin </w:t>
            </w:r>
          </w:p>
        </w:tc>
      </w:tr>
      <w:tr w:rsidR="00152F73" w:rsidRPr="00152F73" w14:paraId="0B02759E" w14:textId="77777777">
        <w:trPr>
          <w:trHeight w:val="434"/>
        </w:trPr>
        <w:tc>
          <w:tcPr>
            <w:tcW w:w="4692" w:type="dxa"/>
            <w:gridSpan w:val="2"/>
            <w:tcBorders>
              <w:top w:val="single" w:sz="48" w:space="0" w:color="000000"/>
              <w:bottom w:val="single" w:sz="48" w:space="0" w:color="000000"/>
              <w:right w:val="nil"/>
            </w:tcBorders>
          </w:tcPr>
          <w:p w14:paraId="5E9E0117" w14:textId="04604863" w:rsidR="00911C5F" w:rsidRPr="00152F73" w:rsidRDefault="009D7E8F">
            <w:pPr>
              <w:pStyle w:val="TableParagraph"/>
              <w:rPr>
                <w:b/>
              </w:rPr>
            </w:pPr>
            <w:r w:rsidRPr="00152F73">
              <w:rPr>
                <w:b/>
              </w:rPr>
              <w:t>Date Approved by SPAGG:</w:t>
            </w:r>
            <w:r w:rsidR="00152F73">
              <w:rPr>
                <w:b/>
              </w:rPr>
              <w:t xml:space="preserve"> 6</w:t>
            </w:r>
            <w:r w:rsidR="00152F73" w:rsidRPr="00152F73">
              <w:rPr>
                <w:b/>
                <w:vertAlign w:val="superscript"/>
              </w:rPr>
              <w:t>th</w:t>
            </w:r>
            <w:r w:rsidR="00152F73">
              <w:rPr>
                <w:b/>
              </w:rPr>
              <w:t xml:space="preserve"> March 2024 </w:t>
            </w:r>
          </w:p>
        </w:tc>
        <w:tc>
          <w:tcPr>
            <w:tcW w:w="5680" w:type="dxa"/>
            <w:tcBorders>
              <w:top w:val="single" w:sz="48" w:space="0" w:color="000000"/>
              <w:left w:val="nil"/>
              <w:bottom w:val="single" w:sz="48" w:space="0" w:color="000000"/>
            </w:tcBorders>
          </w:tcPr>
          <w:p w14:paraId="6E9CA8BE" w14:textId="33C14E99" w:rsidR="00911C5F" w:rsidRPr="00152F73" w:rsidRDefault="00911C5F">
            <w:pPr>
              <w:pStyle w:val="TableParagraph"/>
              <w:spacing w:line="251" w:lineRule="exact"/>
              <w:ind w:left="1775"/>
            </w:pPr>
          </w:p>
        </w:tc>
      </w:tr>
      <w:tr w:rsidR="00911C5F" w:rsidRPr="00152F73" w14:paraId="1BD7B85D" w14:textId="77777777">
        <w:trPr>
          <w:trHeight w:val="431"/>
        </w:trPr>
        <w:tc>
          <w:tcPr>
            <w:tcW w:w="10372" w:type="dxa"/>
            <w:gridSpan w:val="3"/>
            <w:tcBorders>
              <w:top w:val="single" w:sz="48" w:space="0" w:color="000000"/>
            </w:tcBorders>
          </w:tcPr>
          <w:p w14:paraId="7866D3C9" w14:textId="77777777" w:rsidR="00911C5F" w:rsidRPr="00152F73" w:rsidRDefault="009D7E8F">
            <w:pPr>
              <w:pStyle w:val="TableParagraph"/>
              <w:rPr>
                <w:b/>
              </w:rPr>
            </w:pPr>
            <w:r w:rsidRPr="00152F73">
              <w:rPr>
                <w:b/>
              </w:rPr>
              <w:t>Date submitted to Area Prescribing Committee:</w:t>
            </w:r>
          </w:p>
        </w:tc>
      </w:tr>
    </w:tbl>
    <w:p w14:paraId="3DC88274" w14:textId="77777777" w:rsidR="00911C5F" w:rsidRPr="00152F73" w:rsidRDefault="00911C5F">
      <w:pPr>
        <w:pStyle w:val="BodyText"/>
        <w:rPr>
          <w:rFonts w:ascii="Arial"/>
          <w:sz w:val="24"/>
        </w:rPr>
      </w:pPr>
    </w:p>
    <w:p w14:paraId="50417E99" w14:textId="77777777" w:rsidR="00911C5F" w:rsidRPr="00152F73" w:rsidRDefault="009D7E8F">
      <w:pPr>
        <w:spacing w:before="153"/>
        <w:ind w:left="100"/>
        <w:rPr>
          <w:rFonts w:ascii="Arial"/>
          <w:b/>
        </w:rPr>
      </w:pPr>
      <w:r w:rsidRPr="00152F73">
        <w:rPr>
          <w:rFonts w:ascii="Arial"/>
          <w:b/>
        </w:rPr>
        <w:t>Version History</w:t>
      </w:r>
    </w:p>
    <w:p w14:paraId="7BA280FB" w14:textId="77777777" w:rsidR="00911C5F" w:rsidRPr="00152F73" w:rsidRDefault="00911C5F">
      <w:pPr>
        <w:pStyle w:val="BodyText"/>
        <w:spacing w:before="5" w:after="1"/>
        <w:rPr>
          <w:rFonts w:ascii="Arial"/>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390"/>
        <w:gridCol w:w="6452"/>
      </w:tblGrid>
      <w:tr w:rsidR="00152F73" w:rsidRPr="00152F73" w14:paraId="2E24909E" w14:textId="77777777">
        <w:trPr>
          <w:trHeight w:val="431"/>
        </w:trPr>
        <w:tc>
          <w:tcPr>
            <w:tcW w:w="1176" w:type="dxa"/>
          </w:tcPr>
          <w:p w14:paraId="243B0F60" w14:textId="77777777" w:rsidR="00911C5F" w:rsidRPr="00152F73" w:rsidRDefault="009D7E8F">
            <w:pPr>
              <w:pStyle w:val="TableParagraph"/>
              <w:rPr>
                <w:b/>
              </w:rPr>
            </w:pPr>
            <w:r w:rsidRPr="00152F73">
              <w:rPr>
                <w:b/>
              </w:rPr>
              <w:t>Version</w:t>
            </w:r>
          </w:p>
        </w:tc>
        <w:tc>
          <w:tcPr>
            <w:tcW w:w="1390" w:type="dxa"/>
          </w:tcPr>
          <w:p w14:paraId="08C9A8D3" w14:textId="77777777" w:rsidR="00911C5F" w:rsidRPr="00152F73" w:rsidRDefault="009D7E8F">
            <w:pPr>
              <w:pStyle w:val="TableParagraph"/>
              <w:rPr>
                <w:b/>
              </w:rPr>
            </w:pPr>
            <w:r w:rsidRPr="00152F73">
              <w:rPr>
                <w:b/>
              </w:rPr>
              <w:t>Date</w:t>
            </w:r>
          </w:p>
        </w:tc>
        <w:tc>
          <w:tcPr>
            <w:tcW w:w="6452" w:type="dxa"/>
          </w:tcPr>
          <w:p w14:paraId="3B5E5D0D" w14:textId="77777777" w:rsidR="00911C5F" w:rsidRPr="00152F73" w:rsidRDefault="009D7E8F">
            <w:pPr>
              <w:pStyle w:val="TableParagraph"/>
              <w:rPr>
                <w:b/>
              </w:rPr>
            </w:pPr>
            <w:r w:rsidRPr="00152F73">
              <w:rPr>
                <w:b/>
              </w:rPr>
              <w:t>Summary of Change/Process</w:t>
            </w:r>
          </w:p>
        </w:tc>
      </w:tr>
      <w:tr w:rsidR="00152F73" w:rsidRPr="00152F73" w14:paraId="48E7D2E8" w14:textId="77777777">
        <w:trPr>
          <w:trHeight w:val="253"/>
        </w:trPr>
        <w:tc>
          <w:tcPr>
            <w:tcW w:w="1176" w:type="dxa"/>
          </w:tcPr>
          <w:p w14:paraId="4BCCCF85" w14:textId="77777777" w:rsidR="00911C5F" w:rsidRPr="00152F73" w:rsidRDefault="009D7E8F">
            <w:pPr>
              <w:pStyle w:val="TableParagraph"/>
              <w:spacing w:line="234" w:lineRule="exact"/>
            </w:pPr>
            <w:r w:rsidRPr="00152F73">
              <w:t>1.0</w:t>
            </w:r>
          </w:p>
        </w:tc>
        <w:tc>
          <w:tcPr>
            <w:tcW w:w="1390" w:type="dxa"/>
          </w:tcPr>
          <w:p w14:paraId="0B41FE28" w14:textId="77777777" w:rsidR="00911C5F" w:rsidRPr="00152F73" w:rsidRDefault="009D7E8F">
            <w:pPr>
              <w:pStyle w:val="TableParagraph"/>
              <w:spacing w:line="234" w:lineRule="exact"/>
            </w:pPr>
            <w:r w:rsidRPr="00152F73">
              <w:t>3/3/21</w:t>
            </w:r>
          </w:p>
        </w:tc>
        <w:tc>
          <w:tcPr>
            <w:tcW w:w="6452" w:type="dxa"/>
          </w:tcPr>
          <w:p w14:paraId="7DBFFA07" w14:textId="77777777" w:rsidR="00911C5F" w:rsidRPr="00152F73" w:rsidRDefault="00911C5F">
            <w:pPr>
              <w:pStyle w:val="TableParagraph"/>
              <w:spacing w:line="240" w:lineRule="auto"/>
              <w:ind w:left="0"/>
              <w:rPr>
                <w:rFonts w:ascii="Times New Roman"/>
                <w:sz w:val="18"/>
              </w:rPr>
            </w:pPr>
          </w:p>
        </w:tc>
      </w:tr>
      <w:tr w:rsidR="00152F73" w:rsidRPr="00152F73" w14:paraId="42DE02AB" w14:textId="77777777">
        <w:trPr>
          <w:trHeight w:val="253"/>
        </w:trPr>
        <w:tc>
          <w:tcPr>
            <w:tcW w:w="1176" w:type="dxa"/>
          </w:tcPr>
          <w:p w14:paraId="3DEE065B" w14:textId="2A54EEF0" w:rsidR="001652A4" w:rsidRPr="00152F73" w:rsidRDefault="001652A4">
            <w:pPr>
              <w:pStyle w:val="TableParagraph"/>
              <w:spacing w:line="234" w:lineRule="exact"/>
              <w:rPr>
                <w:sz w:val="20"/>
                <w:szCs w:val="20"/>
              </w:rPr>
            </w:pPr>
            <w:r w:rsidRPr="00152F73">
              <w:rPr>
                <w:sz w:val="20"/>
                <w:szCs w:val="20"/>
              </w:rPr>
              <w:t>2.0</w:t>
            </w:r>
          </w:p>
        </w:tc>
        <w:tc>
          <w:tcPr>
            <w:tcW w:w="1390" w:type="dxa"/>
          </w:tcPr>
          <w:p w14:paraId="6F769F35" w14:textId="480CC4DD" w:rsidR="001652A4" w:rsidRPr="00152F73" w:rsidRDefault="001652A4">
            <w:pPr>
              <w:pStyle w:val="TableParagraph"/>
              <w:spacing w:line="234" w:lineRule="exact"/>
              <w:rPr>
                <w:sz w:val="20"/>
                <w:szCs w:val="20"/>
              </w:rPr>
            </w:pPr>
            <w:r w:rsidRPr="00152F73">
              <w:rPr>
                <w:sz w:val="20"/>
                <w:szCs w:val="20"/>
              </w:rPr>
              <w:t>March 2024</w:t>
            </w:r>
          </w:p>
        </w:tc>
        <w:tc>
          <w:tcPr>
            <w:tcW w:w="6452" w:type="dxa"/>
          </w:tcPr>
          <w:p w14:paraId="34C69F67" w14:textId="5694C9CC" w:rsidR="001652A4" w:rsidRPr="00152F73" w:rsidRDefault="001652A4">
            <w:pPr>
              <w:pStyle w:val="TableParagraph"/>
              <w:spacing w:line="240" w:lineRule="auto"/>
              <w:ind w:left="0"/>
              <w:rPr>
                <w:sz w:val="20"/>
                <w:szCs w:val="20"/>
              </w:rPr>
            </w:pPr>
            <w:r w:rsidRPr="00152F73">
              <w:rPr>
                <w:sz w:val="20"/>
                <w:szCs w:val="20"/>
              </w:rPr>
              <w:t>Reviewed and update by M Aslett</w:t>
            </w:r>
          </w:p>
        </w:tc>
      </w:tr>
    </w:tbl>
    <w:p w14:paraId="0092EB92" w14:textId="77777777" w:rsidR="00911C5F" w:rsidRPr="00152F73" w:rsidRDefault="00911C5F">
      <w:pPr>
        <w:rPr>
          <w:rFonts w:ascii="Times New Roman"/>
          <w:sz w:val="18"/>
        </w:rPr>
        <w:sectPr w:rsidR="00911C5F" w:rsidRPr="00152F73">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20" w:right="0" w:bottom="280" w:left="1340" w:header="720" w:footer="720" w:gutter="0"/>
          <w:cols w:space="720"/>
        </w:sectPr>
      </w:pPr>
    </w:p>
    <w:p w14:paraId="1F63F8FD" w14:textId="77777777" w:rsidR="00911C5F" w:rsidRPr="00152F73" w:rsidRDefault="009D7E8F">
      <w:pPr>
        <w:pStyle w:val="Heading3"/>
        <w:spacing w:before="40"/>
        <w:rPr>
          <w:rFonts w:ascii="Arial" w:hAnsi="Arial" w:cs="Arial"/>
          <w:sz w:val="22"/>
          <w:szCs w:val="22"/>
        </w:rPr>
      </w:pPr>
      <w:r w:rsidRPr="00152F73">
        <w:rPr>
          <w:rFonts w:ascii="Arial" w:hAnsi="Arial" w:cs="Arial"/>
          <w:sz w:val="22"/>
          <w:szCs w:val="22"/>
        </w:rPr>
        <w:lastRenderedPageBreak/>
        <w:t>Scope of the Guideline</w:t>
      </w:r>
    </w:p>
    <w:p w14:paraId="5953B72F" w14:textId="77777777" w:rsidR="00911C5F" w:rsidRPr="00152F73" w:rsidRDefault="009D7E8F">
      <w:pPr>
        <w:pStyle w:val="BodyText"/>
        <w:spacing w:before="179" w:line="259" w:lineRule="auto"/>
        <w:ind w:left="100" w:right="1443"/>
        <w:jc w:val="both"/>
        <w:rPr>
          <w:rFonts w:ascii="Arial" w:hAnsi="Arial" w:cs="Arial"/>
          <w:sz w:val="22"/>
          <w:szCs w:val="22"/>
        </w:rPr>
      </w:pPr>
      <w:r w:rsidRPr="00152F73">
        <w:rPr>
          <w:rFonts w:ascii="Arial" w:hAnsi="Arial" w:cs="Arial"/>
          <w:sz w:val="22"/>
          <w:szCs w:val="22"/>
        </w:rPr>
        <w:t>This guidance has been produced to support the use of subcutaneous parecoxib in palliative care patients for cancer</w:t>
      </w:r>
      <w:r w:rsidRPr="00152F73">
        <w:rPr>
          <w:rFonts w:ascii="Arial" w:hAnsi="Arial" w:cs="Arial"/>
          <w:spacing w:val="-10"/>
          <w:sz w:val="22"/>
          <w:szCs w:val="22"/>
        </w:rPr>
        <w:t xml:space="preserve"> </w:t>
      </w:r>
      <w:r w:rsidRPr="00152F73">
        <w:rPr>
          <w:rFonts w:ascii="Arial" w:hAnsi="Arial" w:cs="Arial"/>
          <w:sz w:val="22"/>
          <w:szCs w:val="22"/>
        </w:rPr>
        <w:t>pain.</w:t>
      </w:r>
      <w:r w:rsidRPr="00152F73">
        <w:rPr>
          <w:rFonts w:ascii="Arial" w:hAnsi="Arial" w:cs="Arial"/>
          <w:spacing w:val="-9"/>
          <w:sz w:val="22"/>
          <w:szCs w:val="22"/>
        </w:rPr>
        <w:t xml:space="preserve"> </w:t>
      </w:r>
      <w:r w:rsidRPr="00152F73">
        <w:rPr>
          <w:rFonts w:ascii="Arial" w:hAnsi="Arial" w:cs="Arial"/>
          <w:sz w:val="22"/>
          <w:szCs w:val="22"/>
        </w:rPr>
        <w:t>It</w:t>
      </w:r>
      <w:r w:rsidRPr="00152F73">
        <w:rPr>
          <w:rFonts w:ascii="Arial" w:hAnsi="Arial" w:cs="Arial"/>
          <w:spacing w:val="-9"/>
          <w:sz w:val="22"/>
          <w:szCs w:val="22"/>
        </w:rPr>
        <w:t xml:space="preserve"> </w:t>
      </w:r>
      <w:r w:rsidRPr="00152F73">
        <w:rPr>
          <w:rFonts w:ascii="Arial" w:hAnsi="Arial" w:cs="Arial"/>
          <w:sz w:val="22"/>
          <w:szCs w:val="22"/>
        </w:rPr>
        <w:t>is</w:t>
      </w:r>
      <w:r w:rsidRPr="00152F73">
        <w:rPr>
          <w:rFonts w:ascii="Arial" w:hAnsi="Arial" w:cs="Arial"/>
          <w:spacing w:val="-11"/>
          <w:sz w:val="22"/>
          <w:szCs w:val="22"/>
        </w:rPr>
        <w:t xml:space="preserve"> </w:t>
      </w:r>
      <w:r w:rsidRPr="00152F73">
        <w:rPr>
          <w:rFonts w:ascii="Arial" w:hAnsi="Arial" w:cs="Arial"/>
          <w:sz w:val="22"/>
          <w:szCs w:val="22"/>
        </w:rPr>
        <w:t>aimed</w:t>
      </w:r>
      <w:r w:rsidRPr="00152F73">
        <w:rPr>
          <w:rFonts w:ascii="Arial" w:hAnsi="Arial" w:cs="Arial"/>
          <w:spacing w:val="-10"/>
          <w:sz w:val="22"/>
          <w:szCs w:val="22"/>
        </w:rPr>
        <w:t xml:space="preserve"> </w:t>
      </w:r>
      <w:r w:rsidRPr="00152F73">
        <w:rPr>
          <w:rFonts w:ascii="Arial" w:hAnsi="Arial" w:cs="Arial"/>
          <w:sz w:val="22"/>
          <w:szCs w:val="22"/>
        </w:rPr>
        <w:t>at</w:t>
      </w:r>
      <w:r w:rsidRPr="00152F73">
        <w:rPr>
          <w:rFonts w:ascii="Arial" w:hAnsi="Arial" w:cs="Arial"/>
          <w:spacing w:val="-8"/>
          <w:sz w:val="22"/>
          <w:szCs w:val="22"/>
        </w:rPr>
        <w:t xml:space="preserve"> </w:t>
      </w:r>
      <w:r w:rsidRPr="00152F73">
        <w:rPr>
          <w:rFonts w:ascii="Arial" w:hAnsi="Arial" w:cs="Arial"/>
          <w:sz w:val="22"/>
          <w:szCs w:val="22"/>
        </w:rPr>
        <w:t>the</w:t>
      </w:r>
      <w:r w:rsidRPr="00152F73">
        <w:rPr>
          <w:rFonts w:ascii="Arial" w:hAnsi="Arial" w:cs="Arial"/>
          <w:spacing w:val="-10"/>
          <w:sz w:val="22"/>
          <w:szCs w:val="22"/>
        </w:rPr>
        <w:t xml:space="preserve"> </w:t>
      </w:r>
      <w:r w:rsidRPr="00152F73">
        <w:rPr>
          <w:rFonts w:ascii="Arial" w:hAnsi="Arial" w:cs="Arial"/>
          <w:sz w:val="22"/>
          <w:szCs w:val="22"/>
        </w:rPr>
        <w:t>inpatient</w:t>
      </w:r>
      <w:r w:rsidRPr="00152F73">
        <w:rPr>
          <w:rFonts w:ascii="Arial" w:hAnsi="Arial" w:cs="Arial"/>
          <w:spacing w:val="-10"/>
          <w:sz w:val="22"/>
          <w:szCs w:val="22"/>
        </w:rPr>
        <w:t xml:space="preserve"> </w:t>
      </w:r>
      <w:r w:rsidRPr="00152F73">
        <w:rPr>
          <w:rFonts w:ascii="Arial" w:hAnsi="Arial" w:cs="Arial"/>
          <w:sz w:val="22"/>
          <w:szCs w:val="22"/>
        </w:rPr>
        <w:t>setting,</w:t>
      </w:r>
      <w:r w:rsidRPr="00152F73">
        <w:rPr>
          <w:rFonts w:ascii="Arial" w:hAnsi="Arial" w:cs="Arial"/>
          <w:spacing w:val="-9"/>
          <w:sz w:val="22"/>
          <w:szCs w:val="22"/>
        </w:rPr>
        <w:t xml:space="preserve"> </w:t>
      </w:r>
      <w:r w:rsidRPr="00152F73">
        <w:rPr>
          <w:rFonts w:ascii="Arial" w:hAnsi="Arial" w:cs="Arial"/>
          <w:sz w:val="22"/>
          <w:szCs w:val="22"/>
        </w:rPr>
        <w:t>although</w:t>
      </w:r>
      <w:r w:rsidRPr="00152F73">
        <w:rPr>
          <w:rFonts w:ascii="Arial" w:hAnsi="Arial" w:cs="Arial"/>
          <w:spacing w:val="-9"/>
          <w:sz w:val="22"/>
          <w:szCs w:val="22"/>
        </w:rPr>
        <w:t xml:space="preserve"> </w:t>
      </w:r>
      <w:r w:rsidRPr="00152F73">
        <w:rPr>
          <w:rFonts w:ascii="Arial" w:hAnsi="Arial" w:cs="Arial"/>
          <w:sz w:val="22"/>
          <w:szCs w:val="22"/>
        </w:rPr>
        <w:t>use</w:t>
      </w:r>
      <w:r w:rsidRPr="00152F73">
        <w:rPr>
          <w:rFonts w:ascii="Arial" w:hAnsi="Arial" w:cs="Arial"/>
          <w:spacing w:val="-10"/>
          <w:sz w:val="22"/>
          <w:szCs w:val="22"/>
        </w:rPr>
        <w:t xml:space="preserve"> </w:t>
      </w:r>
      <w:r w:rsidRPr="00152F73">
        <w:rPr>
          <w:rFonts w:ascii="Arial" w:hAnsi="Arial" w:cs="Arial"/>
          <w:sz w:val="22"/>
          <w:szCs w:val="22"/>
        </w:rPr>
        <w:t>in</w:t>
      </w:r>
      <w:r w:rsidRPr="00152F73">
        <w:rPr>
          <w:rFonts w:ascii="Arial" w:hAnsi="Arial" w:cs="Arial"/>
          <w:spacing w:val="-10"/>
          <w:sz w:val="22"/>
          <w:szCs w:val="22"/>
        </w:rPr>
        <w:t xml:space="preserve"> </w:t>
      </w:r>
      <w:r w:rsidRPr="00152F73">
        <w:rPr>
          <w:rFonts w:ascii="Arial" w:hAnsi="Arial" w:cs="Arial"/>
          <w:sz w:val="22"/>
          <w:szCs w:val="22"/>
        </w:rPr>
        <w:t>the</w:t>
      </w:r>
      <w:r w:rsidRPr="00152F73">
        <w:rPr>
          <w:rFonts w:ascii="Arial" w:hAnsi="Arial" w:cs="Arial"/>
          <w:spacing w:val="-10"/>
          <w:sz w:val="22"/>
          <w:szCs w:val="22"/>
        </w:rPr>
        <w:t xml:space="preserve"> </w:t>
      </w:r>
      <w:r w:rsidRPr="00152F73">
        <w:rPr>
          <w:rFonts w:ascii="Arial" w:hAnsi="Arial" w:cs="Arial"/>
          <w:sz w:val="22"/>
          <w:szCs w:val="22"/>
        </w:rPr>
        <w:t>community</w:t>
      </w:r>
      <w:r w:rsidRPr="00152F73">
        <w:rPr>
          <w:rFonts w:ascii="Arial" w:hAnsi="Arial" w:cs="Arial"/>
          <w:spacing w:val="-8"/>
          <w:sz w:val="22"/>
          <w:szCs w:val="22"/>
        </w:rPr>
        <w:t xml:space="preserve"> </w:t>
      </w:r>
      <w:r w:rsidRPr="00152F73">
        <w:rPr>
          <w:rFonts w:ascii="Arial" w:hAnsi="Arial" w:cs="Arial"/>
          <w:sz w:val="22"/>
          <w:szCs w:val="22"/>
        </w:rPr>
        <w:t>setting</w:t>
      </w:r>
      <w:r w:rsidRPr="00152F73">
        <w:rPr>
          <w:rFonts w:ascii="Arial" w:hAnsi="Arial" w:cs="Arial"/>
          <w:spacing w:val="-8"/>
          <w:sz w:val="22"/>
          <w:szCs w:val="22"/>
        </w:rPr>
        <w:t xml:space="preserve"> </w:t>
      </w:r>
      <w:r w:rsidRPr="00152F73">
        <w:rPr>
          <w:rFonts w:ascii="Arial" w:hAnsi="Arial" w:cs="Arial"/>
          <w:sz w:val="22"/>
          <w:szCs w:val="22"/>
        </w:rPr>
        <w:t>may</w:t>
      </w:r>
      <w:r w:rsidRPr="00152F73">
        <w:rPr>
          <w:rFonts w:ascii="Arial" w:hAnsi="Arial" w:cs="Arial"/>
          <w:spacing w:val="-8"/>
          <w:sz w:val="22"/>
          <w:szCs w:val="22"/>
        </w:rPr>
        <w:t xml:space="preserve"> </w:t>
      </w:r>
      <w:r w:rsidRPr="00152F73">
        <w:rPr>
          <w:rFonts w:ascii="Arial" w:hAnsi="Arial" w:cs="Arial"/>
          <w:sz w:val="22"/>
          <w:szCs w:val="22"/>
        </w:rPr>
        <w:t>be</w:t>
      </w:r>
      <w:r w:rsidRPr="00152F73">
        <w:rPr>
          <w:rFonts w:ascii="Arial" w:hAnsi="Arial" w:cs="Arial"/>
          <w:spacing w:val="-10"/>
          <w:sz w:val="22"/>
          <w:szCs w:val="22"/>
        </w:rPr>
        <w:t xml:space="preserve"> </w:t>
      </w:r>
      <w:r w:rsidRPr="00152F73">
        <w:rPr>
          <w:rFonts w:ascii="Arial" w:hAnsi="Arial" w:cs="Arial"/>
          <w:sz w:val="22"/>
          <w:szCs w:val="22"/>
        </w:rPr>
        <w:t>considered</w:t>
      </w:r>
      <w:r w:rsidRPr="00152F73">
        <w:rPr>
          <w:rFonts w:ascii="Arial" w:hAnsi="Arial" w:cs="Arial"/>
          <w:spacing w:val="-9"/>
          <w:sz w:val="22"/>
          <w:szCs w:val="22"/>
        </w:rPr>
        <w:t xml:space="preserve"> </w:t>
      </w:r>
      <w:r w:rsidRPr="00152F73">
        <w:rPr>
          <w:rFonts w:ascii="Arial" w:hAnsi="Arial" w:cs="Arial"/>
          <w:sz w:val="22"/>
          <w:szCs w:val="22"/>
        </w:rPr>
        <w:t>where responsibility for its use, prescription and monitoring is jointly agreed between specialist palliative and primary care.</w:t>
      </w:r>
    </w:p>
    <w:p w14:paraId="7BA77108" w14:textId="77777777" w:rsidR="00911C5F" w:rsidRPr="00152F73" w:rsidRDefault="009D7E8F">
      <w:pPr>
        <w:pStyle w:val="Heading3"/>
        <w:spacing w:before="160"/>
        <w:rPr>
          <w:rFonts w:ascii="Arial" w:hAnsi="Arial" w:cs="Arial"/>
          <w:sz w:val="22"/>
          <w:szCs w:val="22"/>
        </w:rPr>
      </w:pPr>
      <w:r w:rsidRPr="00152F73">
        <w:rPr>
          <w:rFonts w:ascii="Arial" w:hAnsi="Arial" w:cs="Arial"/>
          <w:sz w:val="22"/>
          <w:szCs w:val="22"/>
        </w:rPr>
        <w:t>General information</w:t>
      </w:r>
    </w:p>
    <w:p w14:paraId="61A83817" w14:textId="77777777" w:rsidR="00911C5F" w:rsidRPr="00152F73" w:rsidRDefault="00911C5F">
      <w:pPr>
        <w:pStyle w:val="BodyText"/>
        <w:spacing w:before="9"/>
        <w:rPr>
          <w:rFonts w:ascii="Arial" w:hAnsi="Arial" w:cs="Arial"/>
          <w:b/>
          <w:sz w:val="22"/>
          <w:szCs w:val="22"/>
        </w:rPr>
      </w:pPr>
    </w:p>
    <w:p w14:paraId="03B94C90" w14:textId="3372729F" w:rsidR="00911C5F" w:rsidRPr="00152F73" w:rsidRDefault="009D7E8F" w:rsidP="009D0B00">
      <w:pPr>
        <w:pStyle w:val="BodyText"/>
        <w:spacing w:before="1" w:line="256" w:lineRule="auto"/>
        <w:ind w:left="100" w:right="1447"/>
        <w:jc w:val="both"/>
        <w:rPr>
          <w:rFonts w:ascii="Arial" w:hAnsi="Arial" w:cs="Arial"/>
          <w:sz w:val="22"/>
          <w:szCs w:val="22"/>
        </w:rPr>
      </w:pPr>
      <w:r w:rsidRPr="00152F73">
        <w:rPr>
          <w:rFonts w:ascii="Arial" w:hAnsi="Arial" w:cs="Arial"/>
          <w:sz w:val="22"/>
          <w:szCs w:val="22"/>
        </w:rPr>
        <w:t>This guidance has been developed to establish a degree of consensus in clinical practice that is likely to be beneficial to symptom control management in palliative care, despite the current low quality evidence level.</w:t>
      </w:r>
    </w:p>
    <w:p w14:paraId="76BAD673" w14:textId="77777777" w:rsidR="00911C5F" w:rsidRPr="00152F73" w:rsidRDefault="00911C5F">
      <w:pPr>
        <w:pStyle w:val="BodyText"/>
        <w:rPr>
          <w:rFonts w:ascii="Arial" w:hAnsi="Arial" w:cs="Arial"/>
          <w:sz w:val="22"/>
          <w:szCs w:val="22"/>
        </w:rPr>
      </w:pPr>
    </w:p>
    <w:p w14:paraId="78C1E512" w14:textId="77777777" w:rsidR="00911C5F" w:rsidRPr="00152F73" w:rsidRDefault="009D7E8F">
      <w:pPr>
        <w:pStyle w:val="Heading3"/>
        <w:rPr>
          <w:rFonts w:ascii="Arial" w:hAnsi="Arial" w:cs="Arial"/>
          <w:sz w:val="22"/>
          <w:szCs w:val="22"/>
        </w:rPr>
      </w:pPr>
      <w:r w:rsidRPr="00152F73">
        <w:rPr>
          <w:rFonts w:ascii="Arial" w:hAnsi="Arial" w:cs="Arial"/>
          <w:sz w:val="22"/>
          <w:szCs w:val="22"/>
        </w:rPr>
        <w:t>Background information</w:t>
      </w:r>
    </w:p>
    <w:p w14:paraId="417DE7F0" w14:textId="77777777" w:rsidR="00911C5F" w:rsidRPr="00152F73" w:rsidRDefault="00911C5F">
      <w:pPr>
        <w:pStyle w:val="BodyText"/>
        <w:spacing w:before="10"/>
        <w:rPr>
          <w:rFonts w:ascii="Arial" w:hAnsi="Arial" w:cs="Arial"/>
          <w:b/>
          <w:sz w:val="22"/>
          <w:szCs w:val="22"/>
        </w:rPr>
      </w:pPr>
    </w:p>
    <w:p w14:paraId="1637BA88" w14:textId="77777777" w:rsidR="00911C5F" w:rsidRPr="00152F73" w:rsidRDefault="009D7E8F">
      <w:pPr>
        <w:pStyle w:val="BodyText"/>
        <w:spacing w:line="259" w:lineRule="auto"/>
        <w:ind w:left="100" w:right="1436"/>
        <w:jc w:val="both"/>
        <w:rPr>
          <w:rFonts w:ascii="Arial" w:hAnsi="Arial" w:cs="Arial"/>
          <w:sz w:val="22"/>
          <w:szCs w:val="22"/>
        </w:rPr>
      </w:pPr>
      <w:r w:rsidRPr="00152F73">
        <w:rPr>
          <w:rFonts w:ascii="Arial" w:hAnsi="Arial" w:cs="Arial"/>
          <w:sz w:val="22"/>
          <w:szCs w:val="22"/>
        </w:rPr>
        <w:t>Non-steroidal anti-inflammatory drugs (NSAIDs) are essential medications for cancer pain management, featuring on the WHO analgesic ladder for mild or moderate pain, with a well-recognised role for metastatic bone</w:t>
      </w:r>
      <w:r w:rsidRPr="00152F73">
        <w:rPr>
          <w:rFonts w:ascii="Arial" w:hAnsi="Arial" w:cs="Arial"/>
          <w:spacing w:val="-6"/>
          <w:sz w:val="22"/>
          <w:szCs w:val="22"/>
        </w:rPr>
        <w:t xml:space="preserve"> </w:t>
      </w:r>
      <w:r w:rsidRPr="00152F73">
        <w:rPr>
          <w:rFonts w:ascii="Arial" w:hAnsi="Arial" w:cs="Arial"/>
          <w:sz w:val="22"/>
          <w:szCs w:val="22"/>
        </w:rPr>
        <w:t>pain.</w:t>
      </w:r>
      <w:r w:rsidRPr="00152F73">
        <w:rPr>
          <w:rFonts w:ascii="Arial" w:hAnsi="Arial" w:cs="Arial"/>
          <w:spacing w:val="-3"/>
          <w:sz w:val="22"/>
          <w:szCs w:val="22"/>
        </w:rPr>
        <w:t xml:space="preserve"> </w:t>
      </w:r>
      <w:r w:rsidRPr="00152F73">
        <w:rPr>
          <w:rFonts w:ascii="Arial" w:hAnsi="Arial" w:cs="Arial"/>
          <w:sz w:val="22"/>
          <w:szCs w:val="22"/>
        </w:rPr>
        <w:t>The</w:t>
      </w:r>
      <w:r w:rsidRPr="00152F73">
        <w:rPr>
          <w:rFonts w:ascii="Arial" w:hAnsi="Arial" w:cs="Arial"/>
          <w:spacing w:val="-6"/>
          <w:sz w:val="22"/>
          <w:szCs w:val="22"/>
        </w:rPr>
        <w:t xml:space="preserve"> </w:t>
      </w:r>
      <w:r w:rsidRPr="00152F73">
        <w:rPr>
          <w:rFonts w:ascii="Arial" w:hAnsi="Arial" w:cs="Arial"/>
          <w:sz w:val="22"/>
          <w:szCs w:val="22"/>
        </w:rPr>
        <w:t>analgesic</w:t>
      </w:r>
      <w:r w:rsidRPr="00152F73">
        <w:rPr>
          <w:rFonts w:ascii="Arial" w:hAnsi="Arial" w:cs="Arial"/>
          <w:spacing w:val="-5"/>
          <w:sz w:val="22"/>
          <w:szCs w:val="22"/>
        </w:rPr>
        <w:t xml:space="preserve"> </w:t>
      </w:r>
      <w:r w:rsidRPr="00152F73">
        <w:rPr>
          <w:rFonts w:ascii="Arial" w:hAnsi="Arial" w:cs="Arial"/>
          <w:sz w:val="22"/>
          <w:szCs w:val="22"/>
        </w:rPr>
        <w:t>effect</w:t>
      </w:r>
      <w:r w:rsidRPr="00152F73">
        <w:rPr>
          <w:rFonts w:ascii="Arial" w:hAnsi="Arial" w:cs="Arial"/>
          <w:spacing w:val="-4"/>
          <w:sz w:val="22"/>
          <w:szCs w:val="22"/>
        </w:rPr>
        <w:t xml:space="preserve"> </w:t>
      </w:r>
      <w:r w:rsidRPr="00152F73">
        <w:rPr>
          <w:rFonts w:ascii="Arial" w:hAnsi="Arial" w:cs="Arial"/>
          <w:sz w:val="22"/>
          <w:szCs w:val="22"/>
        </w:rPr>
        <w:t>occurs</w:t>
      </w:r>
      <w:r w:rsidRPr="00152F73">
        <w:rPr>
          <w:rFonts w:ascii="Arial" w:hAnsi="Arial" w:cs="Arial"/>
          <w:spacing w:val="-5"/>
          <w:sz w:val="22"/>
          <w:szCs w:val="22"/>
        </w:rPr>
        <w:t xml:space="preserve"> </w:t>
      </w:r>
      <w:r w:rsidRPr="00152F73">
        <w:rPr>
          <w:rFonts w:ascii="Arial" w:hAnsi="Arial" w:cs="Arial"/>
          <w:sz w:val="22"/>
          <w:szCs w:val="22"/>
        </w:rPr>
        <w:t>through</w:t>
      </w:r>
      <w:r w:rsidRPr="00152F73">
        <w:rPr>
          <w:rFonts w:ascii="Arial" w:hAnsi="Arial" w:cs="Arial"/>
          <w:spacing w:val="-3"/>
          <w:sz w:val="22"/>
          <w:szCs w:val="22"/>
        </w:rPr>
        <w:t xml:space="preserve"> </w:t>
      </w:r>
      <w:r w:rsidRPr="00152F73">
        <w:rPr>
          <w:rFonts w:ascii="Arial" w:hAnsi="Arial" w:cs="Arial"/>
          <w:sz w:val="22"/>
          <w:szCs w:val="22"/>
        </w:rPr>
        <w:t>multiple</w:t>
      </w:r>
      <w:r w:rsidRPr="00152F73">
        <w:rPr>
          <w:rFonts w:ascii="Arial" w:hAnsi="Arial" w:cs="Arial"/>
          <w:spacing w:val="-6"/>
          <w:sz w:val="22"/>
          <w:szCs w:val="22"/>
        </w:rPr>
        <w:t xml:space="preserve"> </w:t>
      </w:r>
      <w:r w:rsidRPr="00152F73">
        <w:rPr>
          <w:rFonts w:ascii="Arial" w:hAnsi="Arial" w:cs="Arial"/>
          <w:sz w:val="22"/>
          <w:szCs w:val="22"/>
        </w:rPr>
        <w:t>modes</w:t>
      </w:r>
      <w:r w:rsidRPr="00152F73">
        <w:rPr>
          <w:rFonts w:ascii="Arial" w:hAnsi="Arial" w:cs="Arial"/>
          <w:spacing w:val="-5"/>
          <w:sz w:val="22"/>
          <w:szCs w:val="22"/>
        </w:rPr>
        <w:t xml:space="preserve"> </w:t>
      </w:r>
      <w:r w:rsidRPr="00152F73">
        <w:rPr>
          <w:rFonts w:ascii="Arial" w:hAnsi="Arial" w:cs="Arial"/>
          <w:sz w:val="22"/>
          <w:szCs w:val="22"/>
        </w:rPr>
        <w:t>of</w:t>
      </w:r>
      <w:r w:rsidRPr="00152F73">
        <w:rPr>
          <w:rFonts w:ascii="Arial" w:hAnsi="Arial" w:cs="Arial"/>
          <w:spacing w:val="-5"/>
          <w:sz w:val="22"/>
          <w:szCs w:val="22"/>
        </w:rPr>
        <w:t xml:space="preserve"> </w:t>
      </w:r>
      <w:r w:rsidRPr="00152F73">
        <w:rPr>
          <w:rFonts w:ascii="Arial" w:hAnsi="Arial" w:cs="Arial"/>
          <w:sz w:val="22"/>
          <w:szCs w:val="22"/>
        </w:rPr>
        <w:t>actions;</w:t>
      </w:r>
      <w:r w:rsidRPr="00152F73">
        <w:rPr>
          <w:rFonts w:ascii="Arial" w:hAnsi="Arial" w:cs="Arial"/>
          <w:spacing w:val="-6"/>
          <w:sz w:val="22"/>
          <w:szCs w:val="22"/>
        </w:rPr>
        <w:t xml:space="preserve"> </w:t>
      </w:r>
      <w:r w:rsidRPr="00152F73">
        <w:rPr>
          <w:rFonts w:ascii="Arial" w:hAnsi="Arial" w:cs="Arial"/>
          <w:sz w:val="22"/>
          <w:szCs w:val="22"/>
        </w:rPr>
        <w:t>one</w:t>
      </w:r>
      <w:r w:rsidRPr="00152F73">
        <w:rPr>
          <w:rFonts w:ascii="Arial" w:hAnsi="Arial" w:cs="Arial"/>
          <w:spacing w:val="-5"/>
          <w:sz w:val="22"/>
          <w:szCs w:val="22"/>
        </w:rPr>
        <w:t xml:space="preserve"> </w:t>
      </w:r>
      <w:r w:rsidRPr="00152F73">
        <w:rPr>
          <w:rFonts w:ascii="Arial" w:hAnsi="Arial" w:cs="Arial"/>
          <w:sz w:val="22"/>
          <w:szCs w:val="22"/>
        </w:rPr>
        <w:t>proposed</w:t>
      </w:r>
      <w:r w:rsidRPr="00152F73">
        <w:rPr>
          <w:rFonts w:ascii="Arial" w:hAnsi="Arial" w:cs="Arial"/>
          <w:spacing w:val="-5"/>
          <w:sz w:val="22"/>
          <w:szCs w:val="22"/>
        </w:rPr>
        <w:t xml:space="preserve"> </w:t>
      </w:r>
      <w:r w:rsidRPr="00152F73">
        <w:rPr>
          <w:rFonts w:ascii="Arial" w:hAnsi="Arial" w:cs="Arial"/>
          <w:sz w:val="22"/>
          <w:szCs w:val="22"/>
        </w:rPr>
        <w:t>mechanism</w:t>
      </w:r>
      <w:r w:rsidRPr="00152F73">
        <w:rPr>
          <w:rFonts w:ascii="Arial" w:hAnsi="Arial" w:cs="Arial"/>
          <w:spacing w:val="-5"/>
          <w:sz w:val="22"/>
          <w:szCs w:val="22"/>
        </w:rPr>
        <w:t xml:space="preserve"> </w:t>
      </w:r>
      <w:r w:rsidRPr="00152F73">
        <w:rPr>
          <w:rFonts w:ascii="Arial" w:hAnsi="Arial" w:cs="Arial"/>
          <w:sz w:val="22"/>
          <w:szCs w:val="22"/>
        </w:rPr>
        <w:t>of</w:t>
      </w:r>
      <w:r w:rsidRPr="00152F73">
        <w:rPr>
          <w:rFonts w:ascii="Arial" w:hAnsi="Arial" w:cs="Arial"/>
          <w:spacing w:val="-5"/>
          <w:sz w:val="22"/>
          <w:szCs w:val="22"/>
        </w:rPr>
        <w:t xml:space="preserve"> </w:t>
      </w:r>
      <w:r w:rsidRPr="00152F73">
        <w:rPr>
          <w:rFonts w:ascii="Arial" w:hAnsi="Arial" w:cs="Arial"/>
          <w:sz w:val="22"/>
          <w:szCs w:val="22"/>
        </w:rPr>
        <w:t>action</w:t>
      </w:r>
      <w:r w:rsidRPr="00152F73">
        <w:rPr>
          <w:rFonts w:ascii="Arial" w:hAnsi="Arial" w:cs="Arial"/>
          <w:spacing w:val="-2"/>
          <w:sz w:val="22"/>
          <w:szCs w:val="22"/>
        </w:rPr>
        <w:t xml:space="preserve"> </w:t>
      </w:r>
      <w:r w:rsidRPr="00152F73">
        <w:rPr>
          <w:rFonts w:ascii="Arial" w:hAnsi="Arial" w:cs="Arial"/>
          <w:sz w:val="22"/>
          <w:szCs w:val="22"/>
        </w:rPr>
        <w:t>is the prevention or reversal of inflammation-induced hyperalgesia locally and in the</w:t>
      </w:r>
      <w:r w:rsidRPr="00152F73">
        <w:rPr>
          <w:rFonts w:ascii="Arial" w:hAnsi="Arial" w:cs="Arial"/>
          <w:spacing w:val="-5"/>
          <w:sz w:val="22"/>
          <w:szCs w:val="22"/>
        </w:rPr>
        <w:t xml:space="preserve"> </w:t>
      </w:r>
      <w:r w:rsidRPr="00152F73">
        <w:rPr>
          <w:rFonts w:ascii="Arial" w:hAnsi="Arial" w:cs="Arial"/>
          <w:sz w:val="22"/>
          <w:szCs w:val="22"/>
        </w:rPr>
        <w:t>CNS</w:t>
      </w:r>
      <w:r w:rsidRPr="00152F73">
        <w:rPr>
          <w:rFonts w:ascii="Arial" w:hAnsi="Arial" w:cs="Arial"/>
          <w:sz w:val="22"/>
          <w:szCs w:val="22"/>
          <w:vertAlign w:val="superscript"/>
        </w:rPr>
        <w:t>1</w:t>
      </w:r>
      <w:r w:rsidRPr="00152F73">
        <w:rPr>
          <w:rFonts w:ascii="Arial" w:hAnsi="Arial" w:cs="Arial"/>
          <w:sz w:val="22"/>
          <w:szCs w:val="22"/>
        </w:rPr>
        <w:t>.</w:t>
      </w:r>
    </w:p>
    <w:p w14:paraId="72FBACCC" w14:textId="77777777" w:rsidR="00911C5F" w:rsidRPr="00152F73" w:rsidRDefault="009D7E8F">
      <w:pPr>
        <w:pStyle w:val="BodyText"/>
        <w:spacing w:before="160" w:line="259" w:lineRule="auto"/>
        <w:ind w:left="100" w:right="1438"/>
        <w:jc w:val="both"/>
        <w:rPr>
          <w:rFonts w:ascii="Arial" w:hAnsi="Arial" w:cs="Arial"/>
          <w:sz w:val="22"/>
          <w:szCs w:val="22"/>
        </w:rPr>
      </w:pPr>
      <w:r w:rsidRPr="00152F73">
        <w:rPr>
          <w:rFonts w:ascii="Arial" w:hAnsi="Arial" w:cs="Arial"/>
          <w:sz w:val="22"/>
          <w:szCs w:val="22"/>
        </w:rPr>
        <w:t>The choice of NSAID in the palliative care setting is influenced by factors such as availability, side effect profile, concomitant health conditions, interactions with other medications and co-morbidities, available routes of administration,</w:t>
      </w:r>
      <w:r w:rsidRPr="00152F73">
        <w:rPr>
          <w:rFonts w:ascii="Arial" w:hAnsi="Arial" w:cs="Arial"/>
          <w:spacing w:val="-7"/>
          <w:sz w:val="22"/>
          <w:szCs w:val="22"/>
        </w:rPr>
        <w:t xml:space="preserve"> </w:t>
      </w:r>
      <w:r w:rsidRPr="00152F73">
        <w:rPr>
          <w:rFonts w:ascii="Arial" w:hAnsi="Arial" w:cs="Arial"/>
          <w:sz w:val="22"/>
          <w:szCs w:val="22"/>
        </w:rPr>
        <w:t>local</w:t>
      </w:r>
      <w:r w:rsidRPr="00152F73">
        <w:rPr>
          <w:rFonts w:ascii="Arial" w:hAnsi="Arial" w:cs="Arial"/>
          <w:spacing w:val="-7"/>
          <w:sz w:val="22"/>
          <w:szCs w:val="22"/>
        </w:rPr>
        <w:t xml:space="preserve"> </w:t>
      </w:r>
      <w:r w:rsidRPr="00152F73">
        <w:rPr>
          <w:rFonts w:ascii="Arial" w:hAnsi="Arial" w:cs="Arial"/>
          <w:sz w:val="22"/>
          <w:szCs w:val="22"/>
        </w:rPr>
        <w:t>guidelines</w:t>
      </w:r>
      <w:r w:rsidRPr="00152F73">
        <w:rPr>
          <w:rFonts w:ascii="Arial" w:hAnsi="Arial" w:cs="Arial"/>
          <w:spacing w:val="-9"/>
          <w:sz w:val="22"/>
          <w:szCs w:val="22"/>
        </w:rPr>
        <w:t xml:space="preserve"> </w:t>
      </w:r>
      <w:r w:rsidRPr="00152F73">
        <w:rPr>
          <w:rFonts w:ascii="Arial" w:hAnsi="Arial" w:cs="Arial"/>
          <w:sz w:val="22"/>
          <w:szCs w:val="22"/>
        </w:rPr>
        <w:t>and</w:t>
      </w:r>
      <w:r w:rsidRPr="00152F73">
        <w:rPr>
          <w:rFonts w:ascii="Arial" w:hAnsi="Arial" w:cs="Arial"/>
          <w:spacing w:val="-7"/>
          <w:sz w:val="22"/>
          <w:szCs w:val="22"/>
        </w:rPr>
        <w:t xml:space="preserve"> </w:t>
      </w:r>
      <w:r w:rsidRPr="00152F73">
        <w:rPr>
          <w:rFonts w:ascii="Arial" w:hAnsi="Arial" w:cs="Arial"/>
          <w:sz w:val="22"/>
          <w:szCs w:val="22"/>
        </w:rPr>
        <w:t>cost.</w:t>
      </w:r>
      <w:r w:rsidRPr="00152F73">
        <w:rPr>
          <w:rFonts w:ascii="Arial" w:hAnsi="Arial" w:cs="Arial"/>
          <w:spacing w:val="-7"/>
          <w:sz w:val="22"/>
          <w:szCs w:val="22"/>
        </w:rPr>
        <w:t xml:space="preserve"> </w:t>
      </w:r>
      <w:r w:rsidRPr="00152F73">
        <w:rPr>
          <w:rFonts w:ascii="Arial" w:hAnsi="Arial" w:cs="Arial"/>
          <w:sz w:val="22"/>
          <w:szCs w:val="22"/>
        </w:rPr>
        <w:t>There</w:t>
      </w:r>
      <w:r w:rsidRPr="00152F73">
        <w:rPr>
          <w:rFonts w:ascii="Arial" w:hAnsi="Arial" w:cs="Arial"/>
          <w:spacing w:val="-8"/>
          <w:sz w:val="22"/>
          <w:szCs w:val="22"/>
        </w:rPr>
        <w:t xml:space="preserve"> </w:t>
      </w:r>
      <w:r w:rsidRPr="00152F73">
        <w:rPr>
          <w:rFonts w:ascii="Arial" w:hAnsi="Arial" w:cs="Arial"/>
          <w:sz w:val="22"/>
          <w:szCs w:val="22"/>
        </w:rPr>
        <w:t>is</w:t>
      </w:r>
      <w:r w:rsidRPr="00152F73">
        <w:rPr>
          <w:rFonts w:ascii="Arial" w:hAnsi="Arial" w:cs="Arial"/>
          <w:spacing w:val="-9"/>
          <w:sz w:val="22"/>
          <w:szCs w:val="22"/>
        </w:rPr>
        <w:t xml:space="preserve"> </w:t>
      </w:r>
      <w:r w:rsidRPr="00152F73">
        <w:rPr>
          <w:rFonts w:ascii="Arial" w:hAnsi="Arial" w:cs="Arial"/>
          <w:sz w:val="22"/>
          <w:szCs w:val="22"/>
        </w:rPr>
        <w:t>no</w:t>
      </w:r>
      <w:r w:rsidRPr="00152F73">
        <w:rPr>
          <w:rFonts w:ascii="Arial" w:hAnsi="Arial" w:cs="Arial"/>
          <w:spacing w:val="-8"/>
          <w:sz w:val="22"/>
          <w:szCs w:val="22"/>
        </w:rPr>
        <w:t xml:space="preserve"> </w:t>
      </w:r>
      <w:r w:rsidRPr="00152F73">
        <w:rPr>
          <w:rFonts w:ascii="Arial" w:hAnsi="Arial" w:cs="Arial"/>
          <w:sz w:val="22"/>
          <w:szCs w:val="22"/>
        </w:rPr>
        <w:t>evidence</w:t>
      </w:r>
      <w:r w:rsidRPr="00152F73">
        <w:rPr>
          <w:rFonts w:ascii="Arial" w:hAnsi="Arial" w:cs="Arial"/>
          <w:spacing w:val="-9"/>
          <w:sz w:val="22"/>
          <w:szCs w:val="22"/>
        </w:rPr>
        <w:t xml:space="preserve"> </w:t>
      </w:r>
      <w:r w:rsidRPr="00152F73">
        <w:rPr>
          <w:rFonts w:ascii="Arial" w:hAnsi="Arial" w:cs="Arial"/>
          <w:sz w:val="22"/>
          <w:szCs w:val="22"/>
        </w:rPr>
        <w:t>to</w:t>
      </w:r>
      <w:r w:rsidRPr="00152F73">
        <w:rPr>
          <w:rFonts w:ascii="Arial" w:hAnsi="Arial" w:cs="Arial"/>
          <w:spacing w:val="-7"/>
          <w:sz w:val="22"/>
          <w:szCs w:val="22"/>
        </w:rPr>
        <w:t xml:space="preserve"> </w:t>
      </w:r>
      <w:r w:rsidRPr="00152F73">
        <w:rPr>
          <w:rFonts w:ascii="Arial" w:hAnsi="Arial" w:cs="Arial"/>
          <w:sz w:val="22"/>
          <w:szCs w:val="22"/>
        </w:rPr>
        <w:t>suggest</w:t>
      </w:r>
      <w:r w:rsidRPr="00152F73">
        <w:rPr>
          <w:rFonts w:ascii="Arial" w:hAnsi="Arial" w:cs="Arial"/>
          <w:spacing w:val="-7"/>
          <w:sz w:val="22"/>
          <w:szCs w:val="22"/>
        </w:rPr>
        <w:t xml:space="preserve"> </w:t>
      </w:r>
      <w:r w:rsidRPr="00152F73">
        <w:rPr>
          <w:rFonts w:ascii="Arial" w:hAnsi="Arial" w:cs="Arial"/>
          <w:sz w:val="22"/>
          <w:szCs w:val="22"/>
        </w:rPr>
        <w:t>any</w:t>
      </w:r>
      <w:r w:rsidRPr="00152F73">
        <w:rPr>
          <w:rFonts w:ascii="Arial" w:hAnsi="Arial" w:cs="Arial"/>
          <w:spacing w:val="-6"/>
          <w:sz w:val="22"/>
          <w:szCs w:val="22"/>
        </w:rPr>
        <w:t xml:space="preserve"> </w:t>
      </w:r>
      <w:r w:rsidRPr="00152F73">
        <w:rPr>
          <w:rFonts w:ascii="Arial" w:hAnsi="Arial" w:cs="Arial"/>
          <w:sz w:val="22"/>
          <w:szCs w:val="22"/>
        </w:rPr>
        <w:t>particular</w:t>
      </w:r>
      <w:r w:rsidRPr="00152F73">
        <w:rPr>
          <w:rFonts w:ascii="Arial" w:hAnsi="Arial" w:cs="Arial"/>
          <w:spacing w:val="-7"/>
          <w:sz w:val="22"/>
          <w:szCs w:val="22"/>
        </w:rPr>
        <w:t xml:space="preserve"> </w:t>
      </w:r>
      <w:r w:rsidRPr="00152F73">
        <w:rPr>
          <w:rFonts w:ascii="Arial" w:hAnsi="Arial" w:cs="Arial"/>
          <w:sz w:val="22"/>
          <w:szCs w:val="22"/>
        </w:rPr>
        <w:t>NSAID</w:t>
      </w:r>
      <w:r w:rsidRPr="00152F73">
        <w:rPr>
          <w:rFonts w:ascii="Arial" w:hAnsi="Arial" w:cs="Arial"/>
          <w:spacing w:val="-8"/>
          <w:sz w:val="22"/>
          <w:szCs w:val="22"/>
        </w:rPr>
        <w:t xml:space="preserve"> </w:t>
      </w:r>
      <w:r w:rsidRPr="00152F73">
        <w:rPr>
          <w:rFonts w:ascii="Arial" w:hAnsi="Arial" w:cs="Arial"/>
          <w:sz w:val="22"/>
          <w:szCs w:val="22"/>
        </w:rPr>
        <w:t>is</w:t>
      </w:r>
      <w:r w:rsidRPr="00152F73">
        <w:rPr>
          <w:rFonts w:ascii="Arial" w:hAnsi="Arial" w:cs="Arial"/>
          <w:spacing w:val="-9"/>
          <w:sz w:val="22"/>
          <w:szCs w:val="22"/>
        </w:rPr>
        <w:t xml:space="preserve"> </w:t>
      </w:r>
      <w:r w:rsidRPr="00152F73">
        <w:rPr>
          <w:rFonts w:ascii="Arial" w:hAnsi="Arial" w:cs="Arial"/>
          <w:sz w:val="22"/>
          <w:szCs w:val="22"/>
        </w:rPr>
        <w:t>more</w:t>
      </w:r>
      <w:r w:rsidRPr="00152F73">
        <w:rPr>
          <w:rFonts w:ascii="Arial" w:hAnsi="Arial" w:cs="Arial"/>
          <w:spacing w:val="-9"/>
          <w:sz w:val="22"/>
          <w:szCs w:val="22"/>
        </w:rPr>
        <w:t xml:space="preserve"> </w:t>
      </w:r>
      <w:r w:rsidRPr="00152F73">
        <w:rPr>
          <w:rFonts w:ascii="Arial" w:hAnsi="Arial" w:cs="Arial"/>
          <w:sz w:val="22"/>
          <w:szCs w:val="22"/>
        </w:rPr>
        <w:t>beneficial in cancer pain. Whilst the renal risks of different NSAIDs are similar and are not a factor in determining choice, selective COX-2 inhibitors have a lower propensity for gastrointestinal side-effects and complications, with the PCF7 suggesting that celecoxib is now probably the overall NSAID of choice in palliative</w:t>
      </w:r>
      <w:r w:rsidRPr="00152F73">
        <w:rPr>
          <w:rFonts w:ascii="Arial" w:hAnsi="Arial" w:cs="Arial"/>
          <w:spacing w:val="-15"/>
          <w:sz w:val="22"/>
          <w:szCs w:val="22"/>
        </w:rPr>
        <w:t xml:space="preserve"> </w:t>
      </w:r>
      <w:r w:rsidRPr="00152F73">
        <w:rPr>
          <w:rFonts w:ascii="Arial" w:hAnsi="Arial" w:cs="Arial"/>
          <w:sz w:val="22"/>
          <w:szCs w:val="22"/>
        </w:rPr>
        <w:t>care</w:t>
      </w:r>
      <w:r w:rsidRPr="00152F73">
        <w:rPr>
          <w:rFonts w:ascii="Arial" w:hAnsi="Arial" w:cs="Arial"/>
          <w:sz w:val="22"/>
          <w:szCs w:val="22"/>
          <w:vertAlign w:val="superscript"/>
        </w:rPr>
        <w:t>1</w:t>
      </w:r>
      <w:r w:rsidRPr="00152F73">
        <w:rPr>
          <w:rFonts w:ascii="Arial" w:hAnsi="Arial" w:cs="Arial"/>
          <w:sz w:val="22"/>
          <w:szCs w:val="22"/>
        </w:rPr>
        <w:t>.</w:t>
      </w:r>
    </w:p>
    <w:p w14:paraId="3C21138F" w14:textId="77777777" w:rsidR="00911C5F" w:rsidRPr="00152F73" w:rsidRDefault="009D7E8F">
      <w:pPr>
        <w:pStyle w:val="BodyText"/>
        <w:spacing w:before="158" w:line="259" w:lineRule="auto"/>
        <w:ind w:left="100" w:right="1434"/>
        <w:jc w:val="both"/>
        <w:rPr>
          <w:rFonts w:ascii="Arial" w:hAnsi="Arial" w:cs="Arial"/>
          <w:sz w:val="22"/>
          <w:szCs w:val="22"/>
        </w:rPr>
      </w:pPr>
      <w:r w:rsidRPr="00152F73">
        <w:rPr>
          <w:rFonts w:ascii="Arial" w:hAnsi="Arial" w:cs="Arial"/>
          <w:sz w:val="22"/>
          <w:szCs w:val="22"/>
        </w:rPr>
        <w:t>Parecoxib, a prodrug of valdecoxib, is an injectable selective COX-2 inhibiter, licensed in the UK for the short- term</w:t>
      </w:r>
      <w:r w:rsidRPr="00152F73">
        <w:rPr>
          <w:rFonts w:ascii="Arial" w:hAnsi="Arial" w:cs="Arial"/>
          <w:spacing w:val="-8"/>
          <w:sz w:val="22"/>
          <w:szCs w:val="22"/>
        </w:rPr>
        <w:t xml:space="preserve"> </w:t>
      </w:r>
      <w:r w:rsidRPr="00152F73">
        <w:rPr>
          <w:rFonts w:ascii="Arial" w:hAnsi="Arial" w:cs="Arial"/>
          <w:sz w:val="22"/>
          <w:szCs w:val="22"/>
        </w:rPr>
        <w:t>treatment</w:t>
      </w:r>
      <w:r w:rsidRPr="00152F73">
        <w:rPr>
          <w:rFonts w:ascii="Arial" w:hAnsi="Arial" w:cs="Arial"/>
          <w:spacing w:val="-6"/>
          <w:sz w:val="22"/>
          <w:szCs w:val="22"/>
        </w:rPr>
        <w:t xml:space="preserve"> </w:t>
      </w:r>
      <w:r w:rsidRPr="00152F73">
        <w:rPr>
          <w:rFonts w:ascii="Arial" w:hAnsi="Arial" w:cs="Arial"/>
          <w:sz w:val="22"/>
          <w:szCs w:val="22"/>
        </w:rPr>
        <w:t>of</w:t>
      </w:r>
      <w:r w:rsidRPr="00152F73">
        <w:rPr>
          <w:rFonts w:ascii="Arial" w:hAnsi="Arial" w:cs="Arial"/>
          <w:spacing w:val="-8"/>
          <w:sz w:val="22"/>
          <w:szCs w:val="22"/>
        </w:rPr>
        <w:t xml:space="preserve"> </w:t>
      </w:r>
      <w:r w:rsidRPr="00152F73">
        <w:rPr>
          <w:rFonts w:ascii="Arial" w:hAnsi="Arial" w:cs="Arial"/>
          <w:sz w:val="22"/>
          <w:szCs w:val="22"/>
        </w:rPr>
        <w:t>postoperative</w:t>
      </w:r>
      <w:r w:rsidRPr="00152F73">
        <w:rPr>
          <w:rFonts w:ascii="Arial" w:hAnsi="Arial" w:cs="Arial"/>
          <w:spacing w:val="-8"/>
          <w:sz w:val="22"/>
          <w:szCs w:val="22"/>
        </w:rPr>
        <w:t xml:space="preserve"> </w:t>
      </w:r>
      <w:r w:rsidRPr="00152F73">
        <w:rPr>
          <w:rFonts w:ascii="Arial" w:hAnsi="Arial" w:cs="Arial"/>
          <w:sz w:val="22"/>
          <w:szCs w:val="22"/>
        </w:rPr>
        <w:t>pain</w:t>
      </w:r>
      <w:r w:rsidRPr="00152F73">
        <w:rPr>
          <w:rFonts w:ascii="Arial" w:hAnsi="Arial" w:cs="Arial"/>
          <w:spacing w:val="-6"/>
          <w:sz w:val="22"/>
          <w:szCs w:val="22"/>
        </w:rPr>
        <w:t xml:space="preserve"> </w:t>
      </w:r>
      <w:r w:rsidRPr="00152F73">
        <w:rPr>
          <w:rFonts w:ascii="Arial" w:hAnsi="Arial" w:cs="Arial"/>
          <w:sz w:val="22"/>
          <w:szCs w:val="22"/>
        </w:rPr>
        <w:t>in</w:t>
      </w:r>
      <w:r w:rsidRPr="00152F73">
        <w:rPr>
          <w:rFonts w:ascii="Arial" w:hAnsi="Arial" w:cs="Arial"/>
          <w:spacing w:val="-6"/>
          <w:sz w:val="22"/>
          <w:szCs w:val="22"/>
        </w:rPr>
        <w:t xml:space="preserve"> </w:t>
      </w:r>
      <w:r w:rsidRPr="00152F73">
        <w:rPr>
          <w:rFonts w:ascii="Arial" w:hAnsi="Arial" w:cs="Arial"/>
          <w:sz w:val="22"/>
          <w:szCs w:val="22"/>
        </w:rPr>
        <w:t>adults</w:t>
      </w:r>
      <w:r w:rsidRPr="00152F73">
        <w:rPr>
          <w:rFonts w:ascii="Arial" w:hAnsi="Arial" w:cs="Arial"/>
          <w:spacing w:val="-8"/>
          <w:sz w:val="22"/>
          <w:szCs w:val="22"/>
        </w:rPr>
        <w:t xml:space="preserve"> </w:t>
      </w:r>
      <w:r w:rsidRPr="00152F73">
        <w:rPr>
          <w:rFonts w:ascii="Arial" w:hAnsi="Arial" w:cs="Arial"/>
          <w:sz w:val="22"/>
          <w:szCs w:val="22"/>
        </w:rPr>
        <w:t>by</w:t>
      </w:r>
      <w:r w:rsidRPr="00152F73">
        <w:rPr>
          <w:rFonts w:ascii="Arial" w:hAnsi="Arial" w:cs="Arial"/>
          <w:spacing w:val="-6"/>
          <w:sz w:val="22"/>
          <w:szCs w:val="22"/>
        </w:rPr>
        <w:t xml:space="preserve"> </w:t>
      </w:r>
      <w:r w:rsidRPr="00152F73">
        <w:rPr>
          <w:rFonts w:ascii="Arial" w:hAnsi="Arial" w:cs="Arial"/>
          <w:sz w:val="22"/>
          <w:szCs w:val="22"/>
        </w:rPr>
        <w:t>the</w:t>
      </w:r>
      <w:r w:rsidRPr="00152F73">
        <w:rPr>
          <w:rFonts w:ascii="Arial" w:hAnsi="Arial" w:cs="Arial"/>
          <w:spacing w:val="-8"/>
          <w:sz w:val="22"/>
          <w:szCs w:val="22"/>
        </w:rPr>
        <w:t xml:space="preserve"> </w:t>
      </w:r>
      <w:r w:rsidRPr="00152F73">
        <w:rPr>
          <w:rFonts w:ascii="Arial" w:hAnsi="Arial" w:cs="Arial"/>
          <w:sz w:val="22"/>
          <w:szCs w:val="22"/>
        </w:rPr>
        <w:t>intramuscular</w:t>
      </w:r>
      <w:r w:rsidRPr="00152F73">
        <w:rPr>
          <w:rFonts w:ascii="Arial" w:hAnsi="Arial" w:cs="Arial"/>
          <w:spacing w:val="-6"/>
          <w:sz w:val="22"/>
          <w:szCs w:val="22"/>
        </w:rPr>
        <w:t xml:space="preserve"> </w:t>
      </w:r>
      <w:r w:rsidRPr="00152F73">
        <w:rPr>
          <w:rFonts w:ascii="Arial" w:hAnsi="Arial" w:cs="Arial"/>
          <w:sz w:val="22"/>
          <w:szCs w:val="22"/>
        </w:rPr>
        <w:t>or</w:t>
      </w:r>
      <w:r w:rsidRPr="00152F73">
        <w:rPr>
          <w:rFonts w:ascii="Arial" w:hAnsi="Arial" w:cs="Arial"/>
          <w:spacing w:val="-7"/>
          <w:sz w:val="22"/>
          <w:szCs w:val="22"/>
        </w:rPr>
        <w:t xml:space="preserve"> </w:t>
      </w:r>
      <w:r w:rsidRPr="00152F73">
        <w:rPr>
          <w:rFonts w:ascii="Arial" w:hAnsi="Arial" w:cs="Arial"/>
          <w:sz w:val="22"/>
          <w:szCs w:val="22"/>
        </w:rPr>
        <w:t>intravenous</w:t>
      </w:r>
      <w:r w:rsidRPr="00152F73">
        <w:rPr>
          <w:rFonts w:ascii="Arial" w:hAnsi="Arial" w:cs="Arial"/>
          <w:spacing w:val="-8"/>
          <w:sz w:val="22"/>
          <w:szCs w:val="22"/>
        </w:rPr>
        <w:t xml:space="preserve"> </w:t>
      </w:r>
      <w:r w:rsidRPr="00152F73">
        <w:rPr>
          <w:rFonts w:ascii="Arial" w:hAnsi="Arial" w:cs="Arial"/>
          <w:sz w:val="22"/>
          <w:szCs w:val="22"/>
        </w:rPr>
        <w:t>routes</w:t>
      </w:r>
      <w:r w:rsidRPr="00152F73">
        <w:rPr>
          <w:rFonts w:ascii="Arial" w:hAnsi="Arial" w:cs="Arial"/>
          <w:sz w:val="22"/>
          <w:szCs w:val="22"/>
          <w:vertAlign w:val="superscript"/>
        </w:rPr>
        <w:t>2</w:t>
      </w:r>
      <w:r w:rsidRPr="00152F73">
        <w:rPr>
          <w:rFonts w:ascii="Arial" w:hAnsi="Arial" w:cs="Arial"/>
          <w:sz w:val="22"/>
          <w:szCs w:val="22"/>
        </w:rPr>
        <w:t>.</w:t>
      </w:r>
      <w:r w:rsidRPr="00152F73">
        <w:rPr>
          <w:rFonts w:ascii="Arial" w:hAnsi="Arial" w:cs="Arial"/>
          <w:spacing w:val="-7"/>
          <w:sz w:val="22"/>
          <w:szCs w:val="22"/>
        </w:rPr>
        <w:t xml:space="preserve"> </w:t>
      </w:r>
      <w:r w:rsidRPr="00152F73">
        <w:rPr>
          <w:rFonts w:ascii="Arial" w:hAnsi="Arial" w:cs="Arial"/>
          <w:sz w:val="22"/>
          <w:szCs w:val="22"/>
        </w:rPr>
        <w:t>A</w:t>
      </w:r>
      <w:r w:rsidRPr="00152F73">
        <w:rPr>
          <w:rFonts w:ascii="Arial" w:hAnsi="Arial" w:cs="Arial"/>
          <w:spacing w:val="-7"/>
          <w:sz w:val="22"/>
          <w:szCs w:val="22"/>
        </w:rPr>
        <w:t xml:space="preserve"> </w:t>
      </w:r>
      <w:r w:rsidRPr="00152F73">
        <w:rPr>
          <w:rFonts w:ascii="Arial" w:hAnsi="Arial" w:cs="Arial"/>
          <w:sz w:val="22"/>
          <w:szCs w:val="22"/>
        </w:rPr>
        <w:t>small</w:t>
      </w:r>
      <w:r w:rsidRPr="00152F73">
        <w:rPr>
          <w:rFonts w:ascii="Arial" w:hAnsi="Arial" w:cs="Arial"/>
          <w:spacing w:val="-7"/>
          <w:sz w:val="22"/>
          <w:szCs w:val="22"/>
        </w:rPr>
        <w:t xml:space="preserve"> </w:t>
      </w:r>
      <w:r w:rsidRPr="00152F73">
        <w:rPr>
          <w:rFonts w:ascii="Arial" w:hAnsi="Arial" w:cs="Arial"/>
          <w:sz w:val="22"/>
          <w:szCs w:val="22"/>
        </w:rPr>
        <w:t>but</w:t>
      </w:r>
      <w:r w:rsidRPr="00152F73">
        <w:rPr>
          <w:rFonts w:ascii="Arial" w:hAnsi="Arial" w:cs="Arial"/>
          <w:spacing w:val="-6"/>
          <w:sz w:val="22"/>
          <w:szCs w:val="22"/>
        </w:rPr>
        <w:t xml:space="preserve"> </w:t>
      </w:r>
      <w:r w:rsidRPr="00152F73">
        <w:rPr>
          <w:rFonts w:ascii="Arial" w:hAnsi="Arial" w:cs="Arial"/>
          <w:sz w:val="22"/>
          <w:szCs w:val="22"/>
        </w:rPr>
        <w:t>growing body of evidence examining its use in the palliative care setting suggests parecoxib to be efficacious and generally well tolerated</w:t>
      </w:r>
      <w:r w:rsidRPr="00152F73">
        <w:rPr>
          <w:rFonts w:ascii="Arial" w:hAnsi="Arial" w:cs="Arial"/>
          <w:sz w:val="22"/>
          <w:szCs w:val="22"/>
          <w:vertAlign w:val="superscript"/>
        </w:rPr>
        <w:t>3,4,5,6</w:t>
      </w:r>
      <w:r w:rsidRPr="00152F73">
        <w:rPr>
          <w:rFonts w:ascii="Arial" w:hAnsi="Arial" w:cs="Arial"/>
          <w:sz w:val="22"/>
          <w:szCs w:val="22"/>
        </w:rPr>
        <w:t>. It may therefore hold a valuable place in the management of cancer pain particularly towards the end of life when oral medication is no longer possible, and the significantly higher GI risk of CSCI ketorolac or diclofenac preclude their use. This is reflected by the inclusion of parecoxib within the Palliative Care</w:t>
      </w:r>
      <w:r w:rsidRPr="00152F73">
        <w:rPr>
          <w:rFonts w:ascii="Arial" w:hAnsi="Arial" w:cs="Arial"/>
          <w:spacing w:val="-2"/>
          <w:sz w:val="22"/>
          <w:szCs w:val="22"/>
        </w:rPr>
        <w:t xml:space="preserve"> </w:t>
      </w:r>
      <w:r w:rsidRPr="00152F73">
        <w:rPr>
          <w:rFonts w:ascii="Arial" w:hAnsi="Arial" w:cs="Arial"/>
          <w:sz w:val="22"/>
          <w:szCs w:val="22"/>
        </w:rPr>
        <w:t>Formulary.</w:t>
      </w:r>
    </w:p>
    <w:p w14:paraId="5BF81BC1" w14:textId="77777777" w:rsidR="00911C5F" w:rsidRPr="00152F73" w:rsidRDefault="009D7E8F">
      <w:pPr>
        <w:pStyle w:val="Heading3"/>
        <w:spacing w:before="159"/>
        <w:rPr>
          <w:rFonts w:ascii="Arial" w:hAnsi="Arial" w:cs="Arial"/>
          <w:sz w:val="22"/>
          <w:szCs w:val="22"/>
        </w:rPr>
      </w:pPr>
      <w:r w:rsidRPr="00152F73">
        <w:rPr>
          <w:rFonts w:ascii="Arial" w:hAnsi="Arial" w:cs="Arial"/>
          <w:sz w:val="22"/>
          <w:szCs w:val="22"/>
        </w:rPr>
        <w:t>Guideline Statements</w:t>
      </w:r>
    </w:p>
    <w:p w14:paraId="584DADE7" w14:textId="77777777" w:rsidR="00911C5F" w:rsidRPr="00152F73" w:rsidRDefault="009D7E8F">
      <w:pPr>
        <w:pStyle w:val="BodyText"/>
        <w:spacing w:before="178"/>
        <w:ind w:left="100"/>
        <w:rPr>
          <w:rFonts w:ascii="Arial" w:hAnsi="Arial" w:cs="Arial"/>
          <w:b/>
          <w:bCs/>
          <w:sz w:val="22"/>
          <w:szCs w:val="22"/>
        </w:rPr>
      </w:pPr>
      <w:r w:rsidRPr="00152F73">
        <w:rPr>
          <w:rFonts w:ascii="Arial" w:hAnsi="Arial" w:cs="Arial"/>
          <w:b/>
          <w:bCs/>
          <w:sz w:val="22"/>
          <w:szCs w:val="22"/>
        </w:rPr>
        <w:t>Indication</w:t>
      </w:r>
    </w:p>
    <w:p w14:paraId="37155B3F" w14:textId="77777777" w:rsidR="00911C5F" w:rsidRPr="00152F73" w:rsidRDefault="00911C5F">
      <w:pPr>
        <w:pStyle w:val="BodyText"/>
        <w:spacing w:before="11"/>
        <w:rPr>
          <w:rFonts w:ascii="Arial" w:hAnsi="Arial" w:cs="Arial"/>
          <w:sz w:val="22"/>
          <w:szCs w:val="22"/>
        </w:rPr>
      </w:pPr>
    </w:p>
    <w:p w14:paraId="495A620B" w14:textId="77777777" w:rsidR="00911C5F" w:rsidRPr="00152F73" w:rsidRDefault="009D7E8F" w:rsidP="005D2E79">
      <w:pPr>
        <w:pStyle w:val="ListParagraph"/>
        <w:numPr>
          <w:ilvl w:val="0"/>
          <w:numId w:val="2"/>
        </w:numPr>
        <w:tabs>
          <w:tab w:val="left" w:pos="821"/>
        </w:tabs>
        <w:spacing w:line="256" w:lineRule="auto"/>
        <w:ind w:right="1439"/>
        <w:rPr>
          <w:rFonts w:ascii="Arial" w:hAnsi="Arial" w:cs="Arial"/>
        </w:rPr>
      </w:pPr>
      <w:r w:rsidRPr="00152F73">
        <w:rPr>
          <w:rFonts w:ascii="Arial" w:hAnsi="Arial" w:cs="Arial"/>
        </w:rPr>
        <w:t>Subcutaneous parecoxib has a potential role in cancer pain management, particularly malignant bone pain, especially in patients who are unable to take medications</w:t>
      </w:r>
      <w:r w:rsidRPr="00152F73">
        <w:rPr>
          <w:rFonts w:ascii="Arial" w:hAnsi="Arial" w:cs="Arial"/>
          <w:spacing w:val="-9"/>
        </w:rPr>
        <w:t xml:space="preserve"> </w:t>
      </w:r>
      <w:r w:rsidRPr="00152F73">
        <w:rPr>
          <w:rFonts w:ascii="Arial" w:hAnsi="Arial" w:cs="Arial"/>
        </w:rPr>
        <w:t>orally.</w:t>
      </w:r>
    </w:p>
    <w:p w14:paraId="12DFF99A" w14:textId="77777777" w:rsidR="001D63E9" w:rsidRPr="00152F73" w:rsidRDefault="001D63E9" w:rsidP="001D63E9">
      <w:pPr>
        <w:pStyle w:val="ListParagraph"/>
        <w:tabs>
          <w:tab w:val="left" w:pos="821"/>
        </w:tabs>
        <w:spacing w:line="256" w:lineRule="auto"/>
        <w:ind w:left="460" w:right="1439" w:firstLine="0"/>
        <w:rPr>
          <w:rFonts w:ascii="Arial" w:hAnsi="Arial" w:cs="Arial"/>
        </w:rPr>
      </w:pPr>
    </w:p>
    <w:p w14:paraId="06513BC8" w14:textId="699308D9" w:rsidR="00911C5F" w:rsidRPr="00152F73" w:rsidRDefault="009D7E8F" w:rsidP="00194597">
      <w:pPr>
        <w:pStyle w:val="ListParagraph"/>
        <w:numPr>
          <w:ilvl w:val="0"/>
          <w:numId w:val="2"/>
        </w:numPr>
        <w:tabs>
          <w:tab w:val="left" w:pos="821"/>
        </w:tabs>
        <w:spacing w:before="5" w:line="256" w:lineRule="auto"/>
        <w:ind w:right="1441"/>
        <w:rPr>
          <w:rFonts w:ascii="Arial" w:hAnsi="Arial" w:cs="Arial"/>
        </w:rPr>
      </w:pPr>
      <w:r w:rsidRPr="00152F73">
        <w:rPr>
          <w:rFonts w:ascii="Arial" w:hAnsi="Arial" w:cs="Arial"/>
        </w:rPr>
        <w:t>The use of subcutaneous parecoxib in palliative care is off-license for both the route of administration and indication, and this should be discussed with the patient before</w:t>
      </w:r>
      <w:r w:rsidRPr="00152F73">
        <w:rPr>
          <w:rFonts w:ascii="Arial" w:hAnsi="Arial" w:cs="Arial"/>
          <w:spacing w:val="-6"/>
        </w:rPr>
        <w:t xml:space="preserve"> </w:t>
      </w:r>
      <w:r w:rsidRPr="00152F73">
        <w:rPr>
          <w:rFonts w:ascii="Arial" w:hAnsi="Arial" w:cs="Arial"/>
        </w:rPr>
        <w:t>use.</w:t>
      </w:r>
    </w:p>
    <w:p w14:paraId="756F12BD" w14:textId="77777777" w:rsidR="00911C5F" w:rsidRPr="00152F73" w:rsidRDefault="00911C5F">
      <w:pPr>
        <w:pStyle w:val="BodyText"/>
        <w:rPr>
          <w:rFonts w:ascii="Arial" w:hAnsi="Arial" w:cs="Arial"/>
          <w:sz w:val="22"/>
          <w:szCs w:val="22"/>
        </w:rPr>
      </w:pPr>
    </w:p>
    <w:p w14:paraId="412EC782" w14:textId="77777777" w:rsidR="00911C5F" w:rsidRPr="00152F73" w:rsidRDefault="009D7E8F">
      <w:pPr>
        <w:pStyle w:val="BodyText"/>
        <w:ind w:left="100"/>
        <w:rPr>
          <w:rFonts w:ascii="Arial" w:hAnsi="Arial" w:cs="Arial"/>
          <w:b/>
          <w:bCs/>
          <w:sz w:val="22"/>
          <w:szCs w:val="22"/>
        </w:rPr>
      </w:pPr>
      <w:r w:rsidRPr="00152F73">
        <w:rPr>
          <w:rFonts w:ascii="Arial" w:hAnsi="Arial" w:cs="Arial"/>
          <w:b/>
          <w:bCs/>
          <w:sz w:val="22"/>
          <w:szCs w:val="22"/>
        </w:rPr>
        <w:t>Dosing</w:t>
      </w:r>
    </w:p>
    <w:p w14:paraId="3AA8A0F7" w14:textId="77777777" w:rsidR="00911C5F" w:rsidRPr="00152F73" w:rsidRDefault="00911C5F">
      <w:pPr>
        <w:pStyle w:val="BodyText"/>
        <w:spacing w:before="9"/>
        <w:rPr>
          <w:rFonts w:ascii="Arial" w:hAnsi="Arial" w:cs="Arial"/>
          <w:sz w:val="22"/>
          <w:szCs w:val="22"/>
        </w:rPr>
      </w:pPr>
    </w:p>
    <w:p w14:paraId="77FB3905" w14:textId="15FF9EBC" w:rsidR="00E5371D" w:rsidRPr="00152F73" w:rsidRDefault="00C84B80" w:rsidP="00165A02">
      <w:pPr>
        <w:pStyle w:val="ListParagraph"/>
        <w:numPr>
          <w:ilvl w:val="0"/>
          <w:numId w:val="3"/>
        </w:numPr>
        <w:tabs>
          <w:tab w:val="left" w:pos="821"/>
        </w:tabs>
        <w:spacing w:line="256" w:lineRule="auto"/>
        <w:ind w:right="1435"/>
        <w:rPr>
          <w:rFonts w:ascii="Arial" w:hAnsi="Arial" w:cs="Arial"/>
        </w:rPr>
      </w:pPr>
      <w:r w:rsidRPr="00152F73">
        <w:rPr>
          <w:rFonts w:ascii="Arial" w:hAnsi="Arial" w:cs="Arial"/>
        </w:rPr>
        <w:t xml:space="preserve">Parecoxib can be given via the subcutaneous route either as </w:t>
      </w:r>
      <w:r w:rsidR="006C2332" w:rsidRPr="00152F73">
        <w:rPr>
          <w:rFonts w:ascii="Arial" w:hAnsi="Arial" w:cs="Arial"/>
        </w:rPr>
        <w:t xml:space="preserve">once or twice daily injections or as a continuous infusion using a syringe driver </w:t>
      </w:r>
      <w:r w:rsidR="00AD2318" w:rsidRPr="00152F73">
        <w:rPr>
          <w:rFonts w:ascii="Arial" w:hAnsi="Arial" w:cs="Arial"/>
        </w:rPr>
        <w:t>(CSCI)</w:t>
      </w:r>
      <w:r w:rsidR="006C2332" w:rsidRPr="00152F73">
        <w:rPr>
          <w:rFonts w:ascii="Arial" w:hAnsi="Arial" w:cs="Arial"/>
        </w:rPr>
        <w:t>.</w:t>
      </w:r>
    </w:p>
    <w:p w14:paraId="12496FD4" w14:textId="1E77BA64" w:rsidR="007A7D24" w:rsidRPr="00152F73" w:rsidRDefault="007A7D24" w:rsidP="00C66370">
      <w:pPr>
        <w:pStyle w:val="ListParagraph"/>
        <w:numPr>
          <w:ilvl w:val="0"/>
          <w:numId w:val="3"/>
        </w:numPr>
        <w:tabs>
          <w:tab w:val="left" w:pos="821"/>
        </w:tabs>
        <w:spacing w:line="256" w:lineRule="auto"/>
        <w:ind w:right="1435"/>
        <w:rPr>
          <w:rFonts w:ascii="Arial" w:hAnsi="Arial" w:cs="Arial"/>
        </w:rPr>
      </w:pPr>
      <w:r w:rsidRPr="00152F73">
        <w:rPr>
          <w:rFonts w:ascii="Arial" w:hAnsi="Arial" w:cs="Arial"/>
        </w:rPr>
        <w:t xml:space="preserve">Dose options are </w:t>
      </w:r>
      <w:r w:rsidR="00034EA4" w:rsidRPr="00152F73">
        <w:rPr>
          <w:rFonts w:ascii="Arial" w:hAnsi="Arial" w:cs="Arial"/>
        </w:rPr>
        <w:t>40mg subcut ONCE or TWICE</w:t>
      </w:r>
      <w:r w:rsidR="00DB51C6" w:rsidRPr="00152F73">
        <w:rPr>
          <w:rFonts w:ascii="Arial" w:hAnsi="Arial" w:cs="Arial"/>
        </w:rPr>
        <w:t xml:space="preserve"> daily or</w:t>
      </w:r>
      <w:r w:rsidR="00AD2318" w:rsidRPr="00152F73">
        <w:rPr>
          <w:rFonts w:ascii="Arial" w:hAnsi="Arial" w:cs="Arial"/>
        </w:rPr>
        <w:t xml:space="preserve"> 40-80mg/24hr subcut CSCI</w:t>
      </w:r>
    </w:p>
    <w:p w14:paraId="7233FC4B" w14:textId="318D2609" w:rsidR="00911C5F" w:rsidRPr="00152F73" w:rsidRDefault="009D7E8F" w:rsidP="00165A02">
      <w:pPr>
        <w:pStyle w:val="ListParagraph"/>
        <w:numPr>
          <w:ilvl w:val="0"/>
          <w:numId w:val="3"/>
        </w:numPr>
        <w:tabs>
          <w:tab w:val="left" w:pos="821"/>
        </w:tabs>
        <w:spacing w:line="256" w:lineRule="auto"/>
        <w:ind w:right="1435"/>
        <w:rPr>
          <w:rFonts w:ascii="Arial" w:hAnsi="Arial" w:cs="Arial"/>
        </w:rPr>
      </w:pPr>
      <w:r w:rsidRPr="00152F73">
        <w:rPr>
          <w:rFonts w:ascii="Arial" w:hAnsi="Arial" w:cs="Arial"/>
        </w:rPr>
        <w:t>The maximum licensed dose i</w:t>
      </w:r>
      <w:r w:rsidR="00DB51C6" w:rsidRPr="00152F73">
        <w:rPr>
          <w:rFonts w:ascii="Arial" w:hAnsi="Arial" w:cs="Arial"/>
        </w:rPr>
        <w:t>s</w:t>
      </w:r>
      <w:r w:rsidRPr="00152F73">
        <w:rPr>
          <w:rFonts w:ascii="Arial" w:hAnsi="Arial" w:cs="Arial"/>
        </w:rPr>
        <w:t xml:space="preserve"> 80mg/24</w:t>
      </w:r>
      <w:r w:rsidRPr="00152F73">
        <w:rPr>
          <w:rFonts w:ascii="Arial" w:hAnsi="Arial" w:cs="Arial"/>
          <w:spacing w:val="-3"/>
        </w:rPr>
        <w:t xml:space="preserve"> </w:t>
      </w:r>
      <w:r w:rsidRPr="00152F73">
        <w:rPr>
          <w:rFonts w:ascii="Arial" w:hAnsi="Arial" w:cs="Arial"/>
        </w:rPr>
        <w:t>hours</w:t>
      </w:r>
      <w:r w:rsidRPr="00152F73">
        <w:rPr>
          <w:rFonts w:ascii="Arial" w:hAnsi="Arial" w:cs="Arial"/>
          <w:vertAlign w:val="superscript"/>
        </w:rPr>
        <w:t>2</w:t>
      </w:r>
      <w:r w:rsidRPr="00152F73">
        <w:rPr>
          <w:rFonts w:ascii="Arial" w:hAnsi="Arial" w:cs="Arial"/>
        </w:rPr>
        <w:t>.</w:t>
      </w:r>
    </w:p>
    <w:p w14:paraId="2C655736" w14:textId="77777777" w:rsidR="00636A38" w:rsidRPr="00152F73" w:rsidRDefault="009D7E8F" w:rsidP="00636A38">
      <w:pPr>
        <w:pStyle w:val="ListParagraph"/>
        <w:numPr>
          <w:ilvl w:val="0"/>
          <w:numId w:val="3"/>
        </w:numPr>
        <w:tabs>
          <w:tab w:val="left" w:pos="821"/>
        </w:tabs>
        <w:spacing w:before="7" w:line="256" w:lineRule="auto"/>
        <w:rPr>
          <w:rFonts w:ascii="Arial" w:hAnsi="Arial" w:cs="Arial"/>
        </w:rPr>
      </w:pPr>
      <w:r w:rsidRPr="00152F73">
        <w:rPr>
          <w:rFonts w:ascii="Arial" w:hAnsi="Arial" w:cs="Arial"/>
        </w:rPr>
        <w:lastRenderedPageBreak/>
        <w:t>In moderate liver impairment, several renal failure</w:t>
      </w:r>
      <w:r w:rsidRPr="00152F73">
        <w:rPr>
          <w:rFonts w:ascii="Arial" w:hAnsi="Arial" w:cs="Arial"/>
          <w:vertAlign w:val="superscript"/>
        </w:rPr>
        <w:t>1</w:t>
      </w:r>
      <w:r w:rsidRPr="00152F73">
        <w:rPr>
          <w:rFonts w:ascii="Arial" w:hAnsi="Arial" w:cs="Arial"/>
        </w:rPr>
        <w:t xml:space="preserve"> and for the elderly (body-weight up to 50kg) </w:t>
      </w:r>
      <w:r w:rsidRPr="00152F73">
        <w:rPr>
          <w:rFonts w:ascii="Arial" w:hAnsi="Arial" w:cs="Arial"/>
          <w:vertAlign w:val="superscript"/>
        </w:rPr>
        <w:t>2</w:t>
      </w:r>
      <w:r w:rsidRPr="00152F73">
        <w:rPr>
          <w:rFonts w:ascii="Arial" w:hAnsi="Arial" w:cs="Arial"/>
        </w:rPr>
        <w:t>, an initial dose of 20mg and maximum dose of</w:t>
      </w:r>
      <w:r w:rsidRPr="00152F73">
        <w:rPr>
          <w:rFonts w:ascii="Arial" w:hAnsi="Arial" w:cs="Arial"/>
          <w:spacing w:val="-33"/>
        </w:rPr>
        <w:t xml:space="preserve"> </w:t>
      </w:r>
      <w:r w:rsidRPr="00152F73">
        <w:rPr>
          <w:rFonts w:ascii="Arial" w:hAnsi="Arial" w:cs="Arial"/>
        </w:rPr>
        <w:t xml:space="preserve">40mg may be appropriate. </w:t>
      </w:r>
    </w:p>
    <w:p w14:paraId="27564433" w14:textId="5B7B59A4" w:rsidR="00911C5F" w:rsidRPr="00152F73" w:rsidRDefault="009D7E8F" w:rsidP="00140DF7">
      <w:pPr>
        <w:pStyle w:val="ListParagraph"/>
        <w:numPr>
          <w:ilvl w:val="0"/>
          <w:numId w:val="3"/>
        </w:numPr>
        <w:tabs>
          <w:tab w:val="left" w:pos="821"/>
        </w:tabs>
        <w:spacing w:before="7" w:line="256" w:lineRule="auto"/>
        <w:rPr>
          <w:rFonts w:ascii="Arial" w:hAnsi="Arial" w:cs="Arial"/>
        </w:rPr>
      </w:pPr>
      <w:r w:rsidRPr="00152F73">
        <w:rPr>
          <w:rFonts w:ascii="Arial" w:hAnsi="Arial" w:cs="Arial"/>
        </w:rPr>
        <w:t>Manufacturers also recommend a lower initial dose of 20mg if</w:t>
      </w:r>
      <w:r w:rsidRPr="00152F73">
        <w:rPr>
          <w:rFonts w:ascii="Arial" w:hAnsi="Arial" w:cs="Arial"/>
          <w:spacing w:val="-3"/>
        </w:rPr>
        <w:t xml:space="preserve"> </w:t>
      </w:r>
      <w:r w:rsidRPr="00152F73">
        <w:rPr>
          <w:rFonts w:ascii="Arial" w:hAnsi="Arial" w:cs="Arial"/>
        </w:rPr>
        <w:t>GFR&lt;30.</w:t>
      </w:r>
    </w:p>
    <w:p w14:paraId="42D50024" w14:textId="77777777" w:rsidR="00C66370" w:rsidRPr="00152F73" w:rsidRDefault="00C66370">
      <w:pPr>
        <w:spacing w:line="256" w:lineRule="auto"/>
        <w:jc w:val="both"/>
        <w:rPr>
          <w:rFonts w:ascii="Arial" w:hAnsi="Arial" w:cs="Arial"/>
        </w:rPr>
      </w:pPr>
    </w:p>
    <w:p w14:paraId="4AD296E5" w14:textId="48A58927" w:rsidR="00224DD0" w:rsidRPr="00152F73" w:rsidRDefault="00EF4F75" w:rsidP="00EF4F75">
      <w:pPr>
        <w:spacing w:line="256" w:lineRule="auto"/>
        <w:jc w:val="both"/>
        <w:rPr>
          <w:rFonts w:ascii="Arial" w:hAnsi="Arial" w:cs="Arial"/>
        </w:rPr>
      </w:pPr>
      <w:r w:rsidRPr="00152F73">
        <w:rPr>
          <w:rFonts w:ascii="Arial" w:hAnsi="Arial" w:cs="Arial"/>
          <w:b/>
          <w:bCs/>
        </w:rPr>
        <w:t>Prescribing Points</w:t>
      </w:r>
    </w:p>
    <w:p w14:paraId="2E0B1D48" w14:textId="77777777" w:rsidR="00140DF7" w:rsidRPr="00152F73" w:rsidRDefault="00140DF7" w:rsidP="00EF4F75">
      <w:pPr>
        <w:spacing w:line="256" w:lineRule="auto"/>
        <w:jc w:val="both"/>
        <w:rPr>
          <w:rFonts w:ascii="Arial" w:hAnsi="Arial" w:cs="Arial"/>
        </w:rPr>
      </w:pPr>
    </w:p>
    <w:p w14:paraId="2104BC9D" w14:textId="1FB932D2" w:rsidR="00224DD0" w:rsidRPr="00152F73" w:rsidRDefault="003151D5" w:rsidP="00960C98">
      <w:pPr>
        <w:pStyle w:val="ListParagraph"/>
        <w:numPr>
          <w:ilvl w:val="0"/>
          <w:numId w:val="8"/>
        </w:numPr>
        <w:spacing w:line="256" w:lineRule="auto"/>
        <w:rPr>
          <w:rFonts w:ascii="Arial" w:hAnsi="Arial" w:cs="Arial"/>
        </w:rPr>
      </w:pPr>
      <w:r w:rsidRPr="00152F73">
        <w:rPr>
          <w:rFonts w:ascii="Arial" w:hAnsi="Arial" w:cs="Arial"/>
        </w:rPr>
        <w:t>Parecoxib is available as two formulations</w:t>
      </w:r>
      <w:r w:rsidR="00894D98" w:rsidRPr="00152F73">
        <w:rPr>
          <w:rFonts w:ascii="Arial" w:hAnsi="Arial" w:cs="Arial"/>
        </w:rPr>
        <w:t>:-</w:t>
      </w:r>
      <w:r w:rsidRPr="00152F73">
        <w:rPr>
          <w:rFonts w:ascii="Arial" w:hAnsi="Arial" w:cs="Arial"/>
        </w:rPr>
        <w:tab/>
      </w:r>
    </w:p>
    <w:p w14:paraId="1ADC71CB" w14:textId="12390CEA" w:rsidR="003151D5" w:rsidRPr="00152F73" w:rsidRDefault="003151D5" w:rsidP="003151D5">
      <w:pPr>
        <w:pStyle w:val="ListParagraph"/>
        <w:numPr>
          <w:ilvl w:val="1"/>
          <w:numId w:val="8"/>
        </w:numPr>
        <w:spacing w:line="256" w:lineRule="auto"/>
        <w:rPr>
          <w:rFonts w:ascii="Arial" w:hAnsi="Arial" w:cs="Arial"/>
        </w:rPr>
      </w:pPr>
      <w:r w:rsidRPr="00152F73">
        <w:rPr>
          <w:rFonts w:ascii="Arial" w:hAnsi="Arial" w:cs="Arial"/>
        </w:rPr>
        <w:t xml:space="preserve">40mg </w:t>
      </w:r>
      <w:r w:rsidR="00894D98" w:rsidRPr="00152F73">
        <w:rPr>
          <w:rFonts w:ascii="Arial" w:hAnsi="Arial" w:cs="Arial"/>
        </w:rPr>
        <w:t>powder for solution for injection vials (pack of 10)</w:t>
      </w:r>
    </w:p>
    <w:p w14:paraId="76236517" w14:textId="729709EA" w:rsidR="00894D98" w:rsidRPr="00152F73" w:rsidRDefault="00481D04" w:rsidP="003151D5">
      <w:pPr>
        <w:pStyle w:val="ListParagraph"/>
        <w:numPr>
          <w:ilvl w:val="1"/>
          <w:numId w:val="8"/>
        </w:numPr>
        <w:spacing w:line="256" w:lineRule="auto"/>
        <w:rPr>
          <w:rFonts w:ascii="Arial" w:hAnsi="Arial" w:cs="Arial"/>
        </w:rPr>
      </w:pPr>
      <w:r w:rsidRPr="00152F73">
        <w:rPr>
          <w:rFonts w:ascii="Arial" w:hAnsi="Arial" w:cs="Arial"/>
        </w:rPr>
        <w:t>40mg powder and solvent for solution for injection vials (pack of 5)</w:t>
      </w:r>
    </w:p>
    <w:p w14:paraId="7291A201" w14:textId="77777777" w:rsidR="004B22D1" w:rsidRPr="00152F73" w:rsidRDefault="004B22D1" w:rsidP="004B22D1">
      <w:pPr>
        <w:pStyle w:val="ListParagraph"/>
        <w:spacing w:line="256" w:lineRule="auto"/>
        <w:ind w:left="1440" w:firstLine="0"/>
        <w:rPr>
          <w:rFonts w:ascii="Arial" w:hAnsi="Arial" w:cs="Arial"/>
        </w:rPr>
      </w:pPr>
    </w:p>
    <w:p w14:paraId="4A7D171B" w14:textId="6499301E" w:rsidR="00B347BF" w:rsidRPr="00152F73" w:rsidRDefault="00B347BF" w:rsidP="00B347BF">
      <w:pPr>
        <w:pStyle w:val="ListParagraph"/>
        <w:numPr>
          <w:ilvl w:val="0"/>
          <w:numId w:val="8"/>
        </w:numPr>
        <w:spacing w:line="256" w:lineRule="auto"/>
        <w:rPr>
          <w:rFonts w:ascii="Arial" w:hAnsi="Arial" w:cs="Arial"/>
        </w:rPr>
      </w:pPr>
      <w:r w:rsidRPr="00152F73">
        <w:rPr>
          <w:rFonts w:ascii="Arial" w:hAnsi="Arial" w:cs="Arial"/>
        </w:rPr>
        <w:t>At the time of writing the guidelines, parecoxib is approximately £5 per</w:t>
      </w:r>
      <w:r w:rsidR="004B22D1" w:rsidRPr="00152F73">
        <w:rPr>
          <w:rFonts w:ascii="Arial" w:hAnsi="Arial" w:cs="Arial"/>
        </w:rPr>
        <w:t xml:space="preserve"> 40mg vial</w:t>
      </w:r>
    </w:p>
    <w:p w14:paraId="362CB2B4" w14:textId="77777777" w:rsidR="004B22D1" w:rsidRPr="00152F73" w:rsidRDefault="004B22D1" w:rsidP="004B22D1">
      <w:pPr>
        <w:pStyle w:val="ListParagraph"/>
        <w:spacing w:line="256" w:lineRule="auto"/>
        <w:ind w:left="720" w:firstLine="0"/>
        <w:rPr>
          <w:rFonts w:ascii="Arial" w:hAnsi="Arial" w:cs="Arial"/>
        </w:rPr>
      </w:pPr>
    </w:p>
    <w:p w14:paraId="61E79854" w14:textId="0E287CA0" w:rsidR="00E77B6C" w:rsidRPr="00152F73" w:rsidRDefault="00B347BF" w:rsidP="00EF4F75">
      <w:pPr>
        <w:pStyle w:val="ListParagraph"/>
        <w:numPr>
          <w:ilvl w:val="0"/>
          <w:numId w:val="8"/>
        </w:numPr>
        <w:spacing w:line="256" w:lineRule="auto"/>
        <w:rPr>
          <w:rFonts w:ascii="Arial" w:hAnsi="Arial" w:cs="Arial"/>
        </w:rPr>
      </w:pPr>
      <w:r w:rsidRPr="00152F73">
        <w:rPr>
          <w:rFonts w:ascii="Arial" w:hAnsi="Arial" w:cs="Arial"/>
        </w:rPr>
        <w:t xml:space="preserve">In </w:t>
      </w:r>
      <w:r w:rsidR="004B22D1" w:rsidRPr="00152F73">
        <w:rPr>
          <w:rFonts w:ascii="Arial" w:hAnsi="Arial" w:cs="Arial"/>
        </w:rPr>
        <w:t>primary care it may take 24-48 hours to obtain supplies given that this is an item not routinely stocked by community pharmacists. Please allow time to obtain supplies to avoid disruptions in symptom management for patients established on parecoxib.</w:t>
      </w:r>
    </w:p>
    <w:p w14:paraId="7DB2C975" w14:textId="77777777" w:rsidR="00E77B6C" w:rsidRPr="00152F73" w:rsidRDefault="00E77B6C" w:rsidP="00EF4F75">
      <w:pPr>
        <w:spacing w:line="256" w:lineRule="auto"/>
        <w:jc w:val="both"/>
        <w:rPr>
          <w:rFonts w:ascii="Arial" w:hAnsi="Arial" w:cs="Arial"/>
        </w:rPr>
      </w:pPr>
    </w:p>
    <w:p w14:paraId="1619B037" w14:textId="77777777" w:rsidR="00E77B6C" w:rsidRPr="00152F73" w:rsidRDefault="00E77B6C" w:rsidP="00115DC8">
      <w:pPr>
        <w:spacing w:line="256" w:lineRule="auto"/>
        <w:rPr>
          <w:rFonts w:ascii="Arial" w:hAnsi="Arial" w:cs="Arial"/>
        </w:rPr>
      </w:pPr>
      <w:r w:rsidRPr="00152F73">
        <w:rPr>
          <w:rFonts w:ascii="Arial" w:hAnsi="Arial" w:cs="Arial"/>
          <w:b/>
          <w:bCs/>
        </w:rPr>
        <w:t>Clinical Points</w:t>
      </w:r>
    </w:p>
    <w:p w14:paraId="2FD748F4" w14:textId="77777777" w:rsidR="00E77B6C" w:rsidRPr="00152F73" w:rsidRDefault="00E77B6C" w:rsidP="00EF4F75">
      <w:pPr>
        <w:spacing w:line="256" w:lineRule="auto"/>
        <w:jc w:val="both"/>
        <w:rPr>
          <w:rFonts w:ascii="Arial" w:hAnsi="Arial" w:cs="Arial"/>
        </w:rPr>
      </w:pPr>
    </w:p>
    <w:p w14:paraId="5AD90E31" w14:textId="77777777" w:rsidR="00E77B6C" w:rsidRPr="00152F73" w:rsidRDefault="00C656AF" w:rsidP="00115DC8">
      <w:pPr>
        <w:pStyle w:val="ListParagraph"/>
        <w:numPr>
          <w:ilvl w:val="0"/>
          <w:numId w:val="8"/>
        </w:numPr>
        <w:spacing w:line="256" w:lineRule="auto"/>
        <w:rPr>
          <w:rFonts w:ascii="Arial" w:hAnsi="Arial" w:cs="Arial"/>
        </w:rPr>
      </w:pPr>
      <w:r w:rsidRPr="00152F73">
        <w:rPr>
          <w:rFonts w:ascii="Arial" w:hAnsi="Arial" w:cs="Arial"/>
        </w:rPr>
        <w:t>Duration of action of parecoxib is reported as 6-12 hours from a sing</w:t>
      </w:r>
      <w:r w:rsidR="00344297" w:rsidRPr="00152F73">
        <w:rPr>
          <w:rFonts w:ascii="Arial" w:hAnsi="Arial" w:cs="Arial"/>
        </w:rPr>
        <w:t>le dose</w:t>
      </w:r>
      <w:r w:rsidR="004402A9" w:rsidRPr="00152F73">
        <w:rPr>
          <w:rFonts w:ascii="Arial" w:hAnsi="Arial" w:cs="Arial"/>
          <w:vertAlign w:val="superscript"/>
        </w:rPr>
        <w:t xml:space="preserve"> 9</w:t>
      </w:r>
    </w:p>
    <w:p w14:paraId="25F0DBAF" w14:textId="77777777" w:rsidR="00240AAC" w:rsidRPr="00152F73" w:rsidRDefault="00240AAC" w:rsidP="00240AAC">
      <w:pPr>
        <w:spacing w:line="256" w:lineRule="auto"/>
        <w:rPr>
          <w:rFonts w:ascii="Arial" w:hAnsi="Arial" w:cs="Arial"/>
        </w:rPr>
      </w:pPr>
    </w:p>
    <w:p w14:paraId="1B3FF370" w14:textId="576C903B" w:rsidR="006D4481" w:rsidRPr="00152F73" w:rsidRDefault="00240AAC" w:rsidP="006D4481">
      <w:pPr>
        <w:pStyle w:val="ListParagraph"/>
        <w:numPr>
          <w:ilvl w:val="0"/>
          <w:numId w:val="8"/>
        </w:numPr>
        <w:spacing w:line="256" w:lineRule="auto"/>
        <w:rPr>
          <w:rFonts w:ascii="Arial" w:hAnsi="Arial" w:cs="Arial"/>
        </w:rPr>
      </w:pPr>
      <w:r w:rsidRPr="00152F73">
        <w:rPr>
          <w:rFonts w:ascii="Arial" w:hAnsi="Arial" w:cs="Arial"/>
        </w:rPr>
        <w:t>Onset of analgesic effect has been reported</w:t>
      </w:r>
      <w:r w:rsidR="00960C98" w:rsidRPr="00152F73">
        <w:rPr>
          <w:rFonts w:ascii="Arial" w:hAnsi="Arial" w:cs="Arial"/>
        </w:rPr>
        <w:t xml:space="preserve"> from 23-39 minutes </w:t>
      </w:r>
      <w:r w:rsidR="00960C98" w:rsidRPr="00152F73">
        <w:rPr>
          <w:rFonts w:ascii="Arial" w:hAnsi="Arial" w:cs="Arial"/>
          <w:vertAlign w:val="superscript"/>
        </w:rPr>
        <w:t>9</w:t>
      </w:r>
    </w:p>
    <w:p w14:paraId="3D359AC9" w14:textId="77777777" w:rsidR="006D4481" w:rsidRPr="00152F73" w:rsidRDefault="006D4481" w:rsidP="006D4481">
      <w:pPr>
        <w:spacing w:line="256" w:lineRule="auto"/>
        <w:rPr>
          <w:rFonts w:ascii="Arial" w:hAnsi="Arial" w:cs="Arial"/>
        </w:rPr>
      </w:pPr>
    </w:p>
    <w:p w14:paraId="14B335B0" w14:textId="77777777" w:rsidR="00835F80" w:rsidRPr="00152F73" w:rsidRDefault="00835F80" w:rsidP="00115DC8">
      <w:pPr>
        <w:pStyle w:val="ListParagraph"/>
        <w:numPr>
          <w:ilvl w:val="0"/>
          <w:numId w:val="8"/>
        </w:numPr>
        <w:spacing w:line="256" w:lineRule="auto"/>
        <w:rPr>
          <w:rFonts w:ascii="Arial" w:hAnsi="Arial" w:cs="Arial"/>
        </w:rPr>
      </w:pPr>
      <w:r w:rsidRPr="00152F73">
        <w:rPr>
          <w:rFonts w:ascii="Arial" w:hAnsi="Arial" w:cs="Arial"/>
        </w:rPr>
        <w:t>Interactions</w:t>
      </w:r>
      <w:r w:rsidR="006D4481" w:rsidRPr="00152F73">
        <w:rPr>
          <w:rFonts w:ascii="Arial" w:hAnsi="Arial" w:cs="Arial"/>
        </w:rPr>
        <w:t xml:space="preserve"> with Parecoxib will be </w:t>
      </w:r>
      <w:r w:rsidR="00AA5297" w:rsidRPr="00152F73">
        <w:rPr>
          <w:rFonts w:ascii="Arial" w:hAnsi="Arial" w:cs="Arial"/>
        </w:rPr>
        <w:t xml:space="preserve">as listed for NSAIDs. </w:t>
      </w:r>
    </w:p>
    <w:p w14:paraId="62828F50" w14:textId="77777777" w:rsidR="00835F80" w:rsidRPr="00152F73" w:rsidRDefault="00835F80" w:rsidP="006D4481">
      <w:pPr>
        <w:spacing w:line="256" w:lineRule="auto"/>
        <w:rPr>
          <w:rFonts w:ascii="Arial" w:hAnsi="Arial" w:cs="Arial"/>
        </w:rPr>
      </w:pPr>
    </w:p>
    <w:p w14:paraId="3EBC5EEA" w14:textId="77777777" w:rsidR="006D4481" w:rsidRPr="00152F73" w:rsidRDefault="00AA5297" w:rsidP="00115DC8">
      <w:pPr>
        <w:pStyle w:val="ListParagraph"/>
        <w:numPr>
          <w:ilvl w:val="0"/>
          <w:numId w:val="8"/>
        </w:numPr>
        <w:spacing w:line="256" w:lineRule="auto"/>
        <w:rPr>
          <w:rFonts w:ascii="Arial" w:hAnsi="Arial" w:cs="Arial"/>
        </w:rPr>
      </w:pPr>
      <w:r w:rsidRPr="00152F73">
        <w:rPr>
          <w:rFonts w:ascii="Arial" w:hAnsi="Arial" w:cs="Arial"/>
        </w:rPr>
        <w:t xml:space="preserve">One notable interaction for palliative care is  that if  fluconazole is being used </w:t>
      </w:r>
      <w:r w:rsidR="00835F80" w:rsidRPr="00152F73">
        <w:rPr>
          <w:rFonts w:ascii="Arial" w:hAnsi="Arial" w:cs="Arial"/>
        </w:rPr>
        <w:t xml:space="preserve">concomitantly then </w:t>
      </w:r>
      <w:r w:rsidR="00115DC8" w:rsidRPr="00152F73">
        <w:rPr>
          <w:rFonts w:ascii="Arial" w:hAnsi="Arial" w:cs="Arial"/>
        </w:rPr>
        <w:t>the dose of parecoxib needs to be reduce</w:t>
      </w:r>
      <w:r w:rsidR="00132AAC" w:rsidRPr="00152F73">
        <w:rPr>
          <w:rFonts w:ascii="Arial" w:hAnsi="Arial" w:cs="Arial"/>
        </w:rPr>
        <w:t>d.</w:t>
      </w:r>
    </w:p>
    <w:p w14:paraId="0B1D0DC9" w14:textId="77777777" w:rsidR="002E2C6D" w:rsidRPr="00152F73" w:rsidRDefault="002E2C6D" w:rsidP="002E2C6D">
      <w:pPr>
        <w:spacing w:line="256" w:lineRule="auto"/>
        <w:rPr>
          <w:rFonts w:ascii="Arial" w:hAnsi="Arial" w:cs="Arial"/>
        </w:rPr>
      </w:pPr>
    </w:p>
    <w:p w14:paraId="74A683B3" w14:textId="77777777" w:rsidR="002E2C6D" w:rsidRPr="00152F73" w:rsidRDefault="002E2C6D" w:rsidP="002E2C6D">
      <w:pPr>
        <w:pStyle w:val="BodyText"/>
        <w:spacing w:before="40"/>
        <w:rPr>
          <w:rFonts w:ascii="Arial" w:hAnsi="Arial" w:cs="Arial"/>
          <w:b/>
          <w:bCs/>
          <w:sz w:val="22"/>
          <w:szCs w:val="22"/>
        </w:rPr>
      </w:pPr>
      <w:r w:rsidRPr="00152F73">
        <w:rPr>
          <w:rFonts w:ascii="Arial" w:hAnsi="Arial" w:cs="Arial"/>
          <w:b/>
          <w:bCs/>
          <w:sz w:val="22"/>
          <w:szCs w:val="22"/>
        </w:rPr>
        <w:t>Volumes, Diluent and Compatibility</w:t>
      </w:r>
    </w:p>
    <w:p w14:paraId="33176642" w14:textId="77777777" w:rsidR="002E2C6D" w:rsidRPr="00152F73" w:rsidRDefault="002E2C6D" w:rsidP="002E2C6D">
      <w:pPr>
        <w:pStyle w:val="BodyText"/>
        <w:spacing w:before="9"/>
        <w:rPr>
          <w:rFonts w:ascii="Arial" w:hAnsi="Arial" w:cs="Arial"/>
          <w:sz w:val="22"/>
          <w:szCs w:val="22"/>
        </w:rPr>
      </w:pPr>
    </w:p>
    <w:p w14:paraId="23BAD21D" w14:textId="77777777" w:rsidR="002E2C6D" w:rsidRPr="00152F73" w:rsidRDefault="002E2C6D" w:rsidP="002E2C6D">
      <w:pPr>
        <w:pStyle w:val="ListParagraph"/>
        <w:numPr>
          <w:ilvl w:val="0"/>
          <w:numId w:val="5"/>
        </w:numPr>
        <w:tabs>
          <w:tab w:val="left" w:pos="821"/>
        </w:tabs>
        <w:spacing w:before="1"/>
        <w:ind w:right="1356"/>
        <w:rPr>
          <w:rFonts w:ascii="Arial" w:hAnsi="Arial" w:cs="Arial"/>
        </w:rPr>
      </w:pPr>
      <w:r w:rsidRPr="00152F73">
        <w:rPr>
          <w:rFonts w:ascii="Arial" w:hAnsi="Arial" w:cs="Arial"/>
          <w:b/>
          <w:bCs/>
        </w:rPr>
        <w:t>Sodium chloride is the only diluent to be used with parecoxib injection</w:t>
      </w:r>
      <w:r w:rsidRPr="00152F73">
        <w:rPr>
          <w:rFonts w:ascii="Arial" w:hAnsi="Arial" w:cs="Arial"/>
        </w:rPr>
        <w:t xml:space="preserve"> – if water for injection is used the resulting solution is not isotonic and therefore can cause more site reactions</w:t>
      </w:r>
      <w:r w:rsidRPr="00152F73">
        <w:rPr>
          <w:rFonts w:ascii="Arial" w:hAnsi="Arial" w:cs="Arial"/>
          <w:vertAlign w:val="superscript"/>
        </w:rPr>
        <w:t>1</w:t>
      </w:r>
      <w:r w:rsidRPr="00152F73">
        <w:rPr>
          <w:rFonts w:ascii="Arial" w:hAnsi="Arial" w:cs="Arial"/>
        </w:rPr>
        <w:t>.</w:t>
      </w:r>
    </w:p>
    <w:p w14:paraId="511B57BC" w14:textId="77777777" w:rsidR="002E2C6D" w:rsidRPr="00152F73" w:rsidRDefault="002E2C6D" w:rsidP="002E2C6D">
      <w:pPr>
        <w:pStyle w:val="ListParagraph"/>
        <w:tabs>
          <w:tab w:val="left" w:pos="821"/>
        </w:tabs>
        <w:spacing w:before="1"/>
        <w:ind w:left="460" w:right="1356" w:firstLine="0"/>
        <w:rPr>
          <w:rFonts w:ascii="Arial" w:hAnsi="Arial" w:cs="Arial"/>
        </w:rPr>
      </w:pPr>
    </w:p>
    <w:p w14:paraId="21019FCA" w14:textId="77777777" w:rsidR="002E2C6D" w:rsidRPr="00152F73" w:rsidRDefault="002E2C6D" w:rsidP="002E2C6D">
      <w:pPr>
        <w:pStyle w:val="ListParagraph"/>
        <w:numPr>
          <w:ilvl w:val="0"/>
          <w:numId w:val="5"/>
        </w:numPr>
        <w:tabs>
          <w:tab w:val="left" w:pos="821"/>
        </w:tabs>
        <w:spacing w:before="1"/>
        <w:ind w:right="0"/>
        <w:rPr>
          <w:rFonts w:ascii="Arial" w:hAnsi="Arial" w:cs="Arial"/>
        </w:rPr>
      </w:pPr>
      <w:r w:rsidRPr="00152F73">
        <w:rPr>
          <w:rFonts w:ascii="Arial" w:hAnsi="Arial" w:cs="Arial"/>
        </w:rPr>
        <w:t>Parecoxib should be diluted to a volume of 22ml, to reduce the risk of site reactions</w:t>
      </w:r>
      <w:r w:rsidRPr="00152F73">
        <w:rPr>
          <w:rFonts w:ascii="Arial" w:hAnsi="Arial" w:cs="Arial"/>
          <w:vertAlign w:val="superscript"/>
        </w:rPr>
        <w:t>1</w:t>
      </w:r>
      <w:r w:rsidRPr="00152F73">
        <w:rPr>
          <w:rFonts w:ascii="Arial" w:hAnsi="Arial" w:cs="Arial"/>
          <w:spacing w:val="-25"/>
        </w:rPr>
        <w:t xml:space="preserve"> </w:t>
      </w:r>
      <w:r w:rsidRPr="00152F73">
        <w:rPr>
          <w:rFonts w:ascii="Arial" w:hAnsi="Arial" w:cs="Arial"/>
        </w:rPr>
        <w:t>.</w:t>
      </w:r>
    </w:p>
    <w:p w14:paraId="1B3C7653" w14:textId="4FC861C4" w:rsidR="002E2C6D" w:rsidRPr="00152F73" w:rsidRDefault="002E2C6D" w:rsidP="00152F73">
      <w:pPr>
        <w:tabs>
          <w:tab w:val="left" w:pos="821"/>
        </w:tabs>
        <w:spacing w:before="21"/>
        <w:rPr>
          <w:rFonts w:ascii="Arial" w:hAnsi="Arial" w:cs="Arial"/>
          <w:strike/>
        </w:rPr>
      </w:pPr>
    </w:p>
    <w:p w14:paraId="799415A1" w14:textId="77777777" w:rsidR="002E2C6D" w:rsidRPr="00152F73" w:rsidRDefault="002E2C6D" w:rsidP="002E2C6D">
      <w:pPr>
        <w:pStyle w:val="ListParagraph"/>
        <w:numPr>
          <w:ilvl w:val="0"/>
          <w:numId w:val="5"/>
        </w:numPr>
        <w:tabs>
          <w:tab w:val="left" w:pos="142"/>
        </w:tabs>
        <w:spacing w:before="4"/>
        <w:ind w:left="426" w:right="1663" w:hanging="326"/>
        <w:rPr>
          <w:rFonts w:ascii="Arial" w:hAnsi="Arial" w:cs="Arial"/>
        </w:rPr>
      </w:pPr>
      <w:r w:rsidRPr="00152F73">
        <w:rPr>
          <w:rFonts w:ascii="Arial" w:hAnsi="Arial" w:cs="Arial"/>
        </w:rPr>
        <w:t>CSCI Parecoxib has been combined with dexamethasone 500 micrograms in cases of site reactions</w:t>
      </w:r>
      <w:r w:rsidRPr="00152F73">
        <w:rPr>
          <w:rFonts w:ascii="Arial" w:hAnsi="Arial" w:cs="Arial"/>
          <w:vertAlign w:val="superscript"/>
        </w:rPr>
        <w:t>3</w:t>
      </w:r>
      <w:r w:rsidRPr="00152F73">
        <w:rPr>
          <w:rFonts w:ascii="Arial" w:hAnsi="Arial" w:cs="Arial"/>
        </w:rPr>
        <w:t xml:space="preserve"> where the increase in diluent volume or change in site has not helped.</w:t>
      </w:r>
    </w:p>
    <w:p w14:paraId="410ECCA1" w14:textId="77777777" w:rsidR="002E2C6D" w:rsidRPr="00152F73" w:rsidRDefault="002E2C6D" w:rsidP="002E2C6D">
      <w:pPr>
        <w:pStyle w:val="ListParagraph"/>
        <w:tabs>
          <w:tab w:val="left" w:pos="142"/>
        </w:tabs>
        <w:spacing w:before="4"/>
        <w:ind w:left="426" w:right="1663" w:firstLine="0"/>
        <w:rPr>
          <w:rFonts w:ascii="Arial" w:hAnsi="Arial" w:cs="Arial"/>
        </w:rPr>
      </w:pPr>
    </w:p>
    <w:p w14:paraId="6FCD222A" w14:textId="77777777" w:rsidR="002E2C6D" w:rsidRPr="00152F73" w:rsidRDefault="002E2C6D" w:rsidP="002E2C6D">
      <w:pPr>
        <w:pStyle w:val="ListParagraph"/>
        <w:numPr>
          <w:ilvl w:val="0"/>
          <w:numId w:val="5"/>
        </w:numPr>
        <w:tabs>
          <w:tab w:val="left" w:pos="821"/>
        </w:tabs>
        <w:spacing w:before="19" w:line="256" w:lineRule="auto"/>
        <w:ind w:right="1436"/>
        <w:rPr>
          <w:rFonts w:ascii="Arial" w:hAnsi="Arial" w:cs="Arial"/>
        </w:rPr>
      </w:pPr>
      <w:r w:rsidRPr="00152F73">
        <w:rPr>
          <w:rFonts w:ascii="Arial" w:hAnsi="Arial" w:cs="Arial"/>
        </w:rPr>
        <w:t xml:space="preserve">There is very limited evidence for compatibility of subcutaneous parecoxib with other medications, apart from ranitidine and esomeprazole </w:t>
      </w:r>
      <w:r w:rsidRPr="00152F73">
        <w:rPr>
          <w:rFonts w:ascii="Arial" w:hAnsi="Arial" w:cs="Arial"/>
          <w:vertAlign w:val="superscript"/>
        </w:rPr>
        <w:t>7</w:t>
      </w:r>
      <w:r w:rsidRPr="00152F73">
        <w:rPr>
          <w:rFonts w:ascii="Arial" w:hAnsi="Arial" w:cs="Arial"/>
        </w:rPr>
        <w:t>, and ideally should not be combined with any other medications in the CSCI route.</w:t>
      </w:r>
    </w:p>
    <w:p w14:paraId="2BA491C1" w14:textId="77777777" w:rsidR="002E2C6D" w:rsidRPr="00152F73" w:rsidRDefault="002E2C6D" w:rsidP="002E2C6D">
      <w:pPr>
        <w:pStyle w:val="ListParagraph"/>
        <w:tabs>
          <w:tab w:val="left" w:pos="142"/>
        </w:tabs>
        <w:spacing w:before="4"/>
        <w:ind w:left="426" w:right="1663" w:firstLine="0"/>
        <w:rPr>
          <w:rFonts w:ascii="Arial" w:hAnsi="Arial" w:cs="Arial"/>
        </w:rPr>
      </w:pPr>
    </w:p>
    <w:p w14:paraId="6378738D" w14:textId="77777777" w:rsidR="002E2C6D" w:rsidRPr="00152F73" w:rsidRDefault="002E2C6D" w:rsidP="002E2C6D">
      <w:pPr>
        <w:tabs>
          <w:tab w:val="left" w:pos="821"/>
        </w:tabs>
        <w:spacing w:before="4" w:line="410" w:lineRule="auto"/>
        <w:ind w:left="100" w:right="1663"/>
        <w:rPr>
          <w:rFonts w:ascii="Arial" w:hAnsi="Arial" w:cs="Arial"/>
          <w:b/>
          <w:bCs/>
        </w:rPr>
      </w:pPr>
      <w:r w:rsidRPr="00152F73">
        <w:rPr>
          <w:rFonts w:ascii="Arial" w:hAnsi="Arial" w:cs="Arial"/>
          <w:b/>
          <w:bCs/>
        </w:rPr>
        <w:t>Duration of</w:t>
      </w:r>
      <w:r w:rsidRPr="00152F73">
        <w:rPr>
          <w:rFonts w:ascii="Arial" w:hAnsi="Arial" w:cs="Arial"/>
          <w:b/>
          <w:bCs/>
          <w:spacing w:val="-3"/>
        </w:rPr>
        <w:t xml:space="preserve"> </w:t>
      </w:r>
      <w:r w:rsidRPr="00152F73">
        <w:rPr>
          <w:rFonts w:ascii="Arial" w:hAnsi="Arial" w:cs="Arial"/>
          <w:b/>
          <w:bCs/>
        </w:rPr>
        <w:t>usage</w:t>
      </w:r>
    </w:p>
    <w:p w14:paraId="1EF5CB48" w14:textId="77777777" w:rsidR="002E2C6D" w:rsidRPr="00152F73" w:rsidRDefault="002E2C6D" w:rsidP="002E2C6D">
      <w:pPr>
        <w:pStyle w:val="ListParagraph"/>
        <w:numPr>
          <w:ilvl w:val="0"/>
          <w:numId w:val="4"/>
        </w:numPr>
        <w:tabs>
          <w:tab w:val="left" w:pos="821"/>
        </w:tabs>
        <w:spacing w:before="13" w:line="256" w:lineRule="auto"/>
        <w:ind w:right="1438"/>
        <w:rPr>
          <w:rFonts w:ascii="Arial" w:hAnsi="Arial" w:cs="Arial"/>
        </w:rPr>
      </w:pPr>
      <w:r w:rsidRPr="00152F73">
        <w:rPr>
          <w:rFonts w:ascii="Arial" w:hAnsi="Arial" w:cs="Arial"/>
        </w:rPr>
        <w:t>There is no evidence to limit the duration of usage for parecoxib in the palliative setting. Evidence of parecoxib use in a non-palliative setting has been based on short-term usage in the acute setting (less than 7 days).</w:t>
      </w:r>
    </w:p>
    <w:p w14:paraId="7044827A" w14:textId="77777777" w:rsidR="00140DF7" w:rsidRPr="00152F73" w:rsidRDefault="00140DF7" w:rsidP="002E2C6D">
      <w:pPr>
        <w:pStyle w:val="BodyText"/>
        <w:spacing w:before="165"/>
        <w:ind w:left="100"/>
        <w:rPr>
          <w:rFonts w:ascii="Arial" w:hAnsi="Arial" w:cs="Arial"/>
          <w:b/>
          <w:bCs/>
          <w:sz w:val="22"/>
          <w:szCs w:val="22"/>
        </w:rPr>
      </w:pPr>
    </w:p>
    <w:p w14:paraId="56844194" w14:textId="5A790869" w:rsidR="002E2C6D" w:rsidRPr="00152F73" w:rsidRDefault="002E2C6D" w:rsidP="002E2C6D">
      <w:pPr>
        <w:pStyle w:val="BodyText"/>
        <w:spacing w:before="165"/>
        <w:ind w:left="100"/>
        <w:rPr>
          <w:rFonts w:ascii="Arial" w:hAnsi="Arial" w:cs="Arial"/>
          <w:b/>
          <w:bCs/>
          <w:sz w:val="22"/>
          <w:szCs w:val="22"/>
        </w:rPr>
      </w:pPr>
      <w:r w:rsidRPr="00152F73">
        <w:rPr>
          <w:rFonts w:ascii="Arial" w:hAnsi="Arial" w:cs="Arial"/>
          <w:b/>
          <w:bCs/>
          <w:sz w:val="22"/>
          <w:szCs w:val="22"/>
        </w:rPr>
        <w:t>Monitoring</w:t>
      </w:r>
    </w:p>
    <w:p w14:paraId="2AD49BFD" w14:textId="77777777" w:rsidR="002E2C6D" w:rsidRPr="00152F73" w:rsidRDefault="002E2C6D" w:rsidP="002E2C6D">
      <w:pPr>
        <w:pStyle w:val="BodyText"/>
        <w:spacing w:before="11"/>
        <w:rPr>
          <w:rFonts w:ascii="Arial" w:hAnsi="Arial" w:cs="Arial"/>
          <w:sz w:val="22"/>
          <w:szCs w:val="22"/>
        </w:rPr>
      </w:pPr>
    </w:p>
    <w:p w14:paraId="39710EDB" w14:textId="77777777" w:rsidR="002E2C6D" w:rsidRPr="00152F73" w:rsidRDefault="002E2C6D" w:rsidP="002E2C6D">
      <w:pPr>
        <w:pStyle w:val="ListParagraph"/>
        <w:numPr>
          <w:ilvl w:val="0"/>
          <w:numId w:val="4"/>
        </w:numPr>
        <w:tabs>
          <w:tab w:val="left" w:pos="821"/>
        </w:tabs>
        <w:spacing w:line="256" w:lineRule="auto"/>
        <w:ind w:right="1447"/>
        <w:rPr>
          <w:rFonts w:ascii="Arial" w:hAnsi="Arial" w:cs="Arial"/>
        </w:rPr>
      </w:pPr>
      <w:r w:rsidRPr="00152F73">
        <w:rPr>
          <w:rFonts w:ascii="Arial" w:hAnsi="Arial" w:cs="Arial"/>
        </w:rPr>
        <w:t xml:space="preserve">Baseline and repeat monitoring of renal function should be considered, especially in those </w:t>
      </w:r>
      <w:r w:rsidRPr="00152F73">
        <w:rPr>
          <w:rFonts w:ascii="Arial" w:hAnsi="Arial" w:cs="Arial"/>
        </w:rPr>
        <w:lastRenderedPageBreak/>
        <w:t>who may have pre-existing renal impairment, are receiving concomitant nephrotoxic medications, or receive prolonged administration of parecoxib where the risk to renal function could feasibly</w:t>
      </w:r>
      <w:r w:rsidRPr="00152F73">
        <w:rPr>
          <w:rFonts w:ascii="Arial" w:hAnsi="Arial" w:cs="Arial"/>
          <w:spacing w:val="-17"/>
        </w:rPr>
        <w:t xml:space="preserve"> </w:t>
      </w:r>
      <w:r w:rsidRPr="00152F73">
        <w:rPr>
          <w:rFonts w:ascii="Arial" w:hAnsi="Arial" w:cs="Arial"/>
        </w:rPr>
        <w:t>change.</w:t>
      </w:r>
    </w:p>
    <w:p w14:paraId="39760B4F" w14:textId="77777777" w:rsidR="002E2C6D" w:rsidRPr="00152F73" w:rsidRDefault="002E2C6D" w:rsidP="002E2C6D">
      <w:pPr>
        <w:pStyle w:val="BodyText"/>
        <w:spacing w:before="165"/>
        <w:rPr>
          <w:rFonts w:ascii="Arial" w:hAnsi="Arial" w:cs="Arial"/>
          <w:b/>
          <w:bCs/>
          <w:sz w:val="22"/>
          <w:szCs w:val="22"/>
        </w:rPr>
      </w:pPr>
      <w:r w:rsidRPr="00152F73">
        <w:rPr>
          <w:rFonts w:ascii="Arial" w:hAnsi="Arial" w:cs="Arial"/>
          <w:b/>
          <w:bCs/>
          <w:sz w:val="22"/>
          <w:szCs w:val="22"/>
        </w:rPr>
        <w:t>Cautions and contra-indications</w:t>
      </w:r>
    </w:p>
    <w:p w14:paraId="009CB1F1" w14:textId="77777777" w:rsidR="002E2C6D" w:rsidRPr="00152F73" w:rsidRDefault="002E2C6D" w:rsidP="002E2C6D">
      <w:pPr>
        <w:pStyle w:val="BodyText"/>
        <w:spacing w:before="11"/>
        <w:rPr>
          <w:rFonts w:ascii="Arial" w:hAnsi="Arial" w:cs="Arial"/>
          <w:sz w:val="22"/>
          <w:szCs w:val="22"/>
        </w:rPr>
      </w:pPr>
    </w:p>
    <w:p w14:paraId="16630EAB" w14:textId="05BBF17D" w:rsidR="002E2C6D" w:rsidRPr="00152F73" w:rsidRDefault="002E2C6D" w:rsidP="002E2C6D">
      <w:pPr>
        <w:pStyle w:val="ListParagraph"/>
        <w:numPr>
          <w:ilvl w:val="0"/>
          <w:numId w:val="4"/>
        </w:numPr>
        <w:tabs>
          <w:tab w:val="left" w:pos="821"/>
        </w:tabs>
        <w:spacing w:line="256" w:lineRule="auto"/>
        <w:ind w:right="1439"/>
        <w:rPr>
          <w:rFonts w:ascii="Arial" w:hAnsi="Arial" w:cs="Arial"/>
        </w:rPr>
      </w:pPr>
      <w:r w:rsidRPr="00152F73">
        <w:rPr>
          <w:rFonts w:ascii="Arial" w:hAnsi="Arial" w:cs="Arial"/>
        </w:rPr>
        <w:t xml:space="preserve">Cautions and relative/absolute contraindications relevant to non-steroidal anti-inflammatory </w:t>
      </w:r>
      <w:r w:rsidR="00525830" w:rsidRPr="00152F73">
        <w:rPr>
          <w:rFonts w:ascii="Arial" w:hAnsi="Arial" w:cs="Arial"/>
        </w:rPr>
        <w:t>usage</w:t>
      </w:r>
      <w:r w:rsidRPr="00152F73">
        <w:rPr>
          <w:rFonts w:ascii="Arial" w:hAnsi="Arial" w:cs="Arial"/>
        </w:rPr>
        <w:t xml:space="preserve"> apply to</w:t>
      </w:r>
      <w:r w:rsidRPr="00152F73">
        <w:rPr>
          <w:rFonts w:ascii="Arial" w:hAnsi="Arial" w:cs="Arial"/>
          <w:spacing w:val="-1"/>
        </w:rPr>
        <w:t xml:space="preserve"> </w:t>
      </w:r>
      <w:r w:rsidRPr="00152F73">
        <w:rPr>
          <w:rFonts w:ascii="Arial" w:hAnsi="Arial" w:cs="Arial"/>
        </w:rPr>
        <w:t>parecoxib.</w:t>
      </w:r>
    </w:p>
    <w:p w14:paraId="71367EBA" w14:textId="77777777" w:rsidR="002E2C6D" w:rsidRPr="00152F73" w:rsidRDefault="002E2C6D" w:rsidP="002E2C6D">
      <w:pPr>
        <w:pStyle w:val="ListParagraph"/>
        <w:tabs>
          <w:tab w:val="left" w:pos="821"/>
        </w:tabs>
        <w:spacing w:line="256" w:lineRule="auto"/>
        <w:ind w:left="460" w:right="1439" w:firstLine="0"/>
        <w:rPr>
          <w:rFonts w:ascii="Arial" w:hAnsi="Arial" w:cs="Arial"/>
        </w:rPr>
      </w:pPr>
    </w:p>
    <w:p w14:paraId="52A88B49" w14:textId="77777777" w:rsidR="002E2C6D" w:rsidRPr="00152F73" w:rsidRDefault="002E2C6D" w:rsidP="002E2C6D">
      <w:pPr>
        <w:pStyle w:val="Heading2"/>
        <w:numPr>
          <w:ilvl w:val="0"/>
          <w:numId w:val="4"/>
        </w:numPr>
        <w:tabs>
          <w:tab w:val="left" w:pos="821"/>
        </w:tabs>
        <w:spacing w:line="259" w:lineRule="auto"/>
        <w:ind w:right="1433"/>
        <w:jc w:val="both"/>
        <w:rPr>
          <w:rFonts w:ascii="Arial" w:hAnsi="Arial" w:cs="Arial"/>
        </w:rPr>
      </w:pPr>
      <w:r w:rsidRPr="00152F73">
        <w:rPr>
          <w:rFonts w:ascii="Arial" w:hAnsi="Arial" w:cs="Arial"/>
        </w:rPr>
        <w:t>Contraindications include</w:t>
      </w:r>
      <w:r w:rsidRPr="00152F73">
        <w:rPr>
          <w:rFonts w:ascii="Arial" w:hAnsi="Arial" w:cs="Arial"/>
          <w:vertAlign w:val="superscript"/>
        </w:rPr>
        <w:t>2</w:t>
      </w:r>
      <w:r w:rsidRPr="00152F73">
        <w:rPr>
          <w:rFonts w:ascii="Arial" w:hAnsi="Arial" w:cs="Arial"/>
        </w:rPr>
        <w:t xml:space="preserve">: </w:t>
      </w:r>
    </w:p>
    <w:p w14:paraId="26F44C5C" w14:textId="77777777" w:rsidR="002E2C6D" w:rsidRPr="00152F73" w:rsidRDefault="002E2C6D" w:rsidP="002E2C6D">
      <w:pPr>
        <w:pStyle w:val="Heading2"/>
        <w:numPr>
          <w:ilvl w:val="1"/>
          <w:numId w:val="4"/>
        </w:numPr>
        <w:tabs>
          <w:tab w:val="left" w:pos="821"/>
        </w:tabs>
        <w:spacing w:line="259" w:lineRule="auto"/>
        <w:ind w:right="1433"/>
        <w:jc w:val="both"/>
        <w:rPr>
          <w:rFonts w:ascii="Arial" w:hAnsi="Arial" w:cs="Arial"/>
        </w:rPr>
      </w:pPr>
      <w:r w:rsidRPr="00152F73">
        <w:rPr>
          <w:rFonts w:ascii="Arial" w:hAnsi="Arial" w:cs="Arial"/>
        </w:rPr>
        <w:t>active gastro-intestinal  bleeding</w:t>
      </w:r>
    </w:p>
    <w:p w14:paraId="05221AED" w14:textId="77777777" w:rsidR="002E2C6D" w:rsidRPr="00152F73" w:rsidRDefault="002E2C6D" w:rsidP="002E2C6D">
      <w:pPr>
        <w:pStyle w:val="Heading2"/>
        <w:numPr>
          <w:ilvl w:val="1"/>
          <w:numId w:val="4"/>
        </w:numPr>
        <w:tabs>
          <w:tab w:val="left" w:pos="821"/>
        </w:tabs>
        <w:spacing w:line="259" w:lineRule="auto"/>
        <w:ind w:right="1433"/>
        <w:jc w:val="both"/>
        <w:rPr>
          <w:rFonts w:ascii="Arial" w:hAnsi="Arial" w:cs="Arial"/>
        </w:rPr>
      </w:pPr>
      <w:r w:rsidRPr="00152F73">
        <w:rPr>
          <w:rFonts w:ascii="Arial" w:hAnsi="Arial" w:cs="Arial"/>
        </w:rPr>
        <w:t>active  gastro-intestinal ulceration</w:t>
      </w:r>
    </w:p>
    <w:p w14:paraId="086F9DBD" w14:textId="77777777" w:rsidR="002E2C6D" w:rsidRPr="00152F73" w:rsidRDefault="002E2C6D" w:rsidP="002E2C6D">
      <w:pPr>
        <w:pStyle w:val="Heading2"/>
        <w:numPr>
          <w:ilvl w:val="1"/>
          <w:numId w:val="4"/>
        </w:numPr>
        <w:tabs>
          <w:tab w:val="left" w:pos="821"/>
        </w:tabs>
        <w:spacing w:line="259" w:lineRule="auto"/>
        <w:ind w:right="1433"/>
        <w:jc w:val="both"/>
        <w:rPr>
          <w:rFonts w:ascii="Arial" w:hAnsi="Arial" w:cs="Arial"/>
        </w:rPr>
      </w:pPr>
      <w:r w:rsidRPr="00152F73">
        <w:rPr>
          <w:rFonts w:ascii="Arial" w:hAnsi="Arial" w:cs="Arial"/>
        </w:rPr>
        <w:t>cerebrovascular    disease</w:t>
      </w:r>
    </w:p>
    <w:p w14:paraId="3D031282" w14:textId="77777777" w:rsidR="002E2C6D" w:rsidRPr="00152F73" w:rsidRDefault="002E2C6D" w:rsidP="002E2C6D">
      <w:pPr>
        <w:pStyle w:val="Heading2"/>
        <w:numPr>
          <w:ilvl w:val="1"/>
          <w:numId w:val="4"/>
        </w:numPr>
        <w:tabs>
          <w:tab w:val="left" w:pos="821"/>
        </w:tabs>
        <w:spacing w:line="259" w:lineRule="auto"/>
        <w:ind w:right="1433"/>
        <w:jc w:val="both"/>
        <w:rPr>
          <w:rFonts w:ascii="Arial" w:hAnsi="Arial" w:cs="Arial"/>
        </w:rPr>
      </w:pPr>
      <w:r w:rsidRPr="00152F73">
        <w:rPr>
          <w:rFonts w:ascii="Arial" w:hAnsi="Arial" w:cs="Arial"/>
        </w:rPr>
        <w:t>following    coronary     artery     bypass     graft surgery</w:t>
      </w:r>
    </w:p>
    <w:p w14:paraId="39E9DD91" w14:textId="77777777" w:rsidR="002E2C6D" w:rsidRPr="00152F73" w:rsidRDefault="002E2C6D" w:rsidP="002E2C6D">
      <w:pPr>
        <w:pStyle w:val="Heading2"/>
        <w:numPr>
          <w:ilvl w:val="1"/>
          <w:numId w:val="4"/>
        </w:numPr>
        <w:tabs>
          <w:tab w:val="left" w:pos="821"/>
        </w:tabs>
        <w:spacing w:line="259" w:lineRule="auto"/>
        <w:ind w:right="1433"/>
        <w:jc w:val="both"/>
        <w:rPr>
          <w:rFonts w:ascii="Arial" w:hAnsi="Arial" w:cs="Arial"/>
        </w:rPr>
      </w:pPr>
      <w:r w:rsidRPr="00152F73">
        <w:rPr>
          <w:rFonts w:ascii="Arial" w:hAnsi="Arial" w:cs="Arial"/>
        </w:rPr>
        <w:t>inflammatory bowel disease</w:t>
      </w:r>
    </w:p>
    <w:p w14:paraId="5BE5E36F" w14:textId="77777777" w:rsidR="002E2C6D" w:rsidRPr="00152F73" w:rsidRDefault="002E2C6D" w:rsidP="002E2C6D">
      <w:pPr>
        <w:pStyle w:val="Heading2"/>
        <w:numPr>
          <w:ilvl w:val="1"/>
          <w:numId w:val="4"/>
        </w:numPr>
        <w:tabs>
          <w:tab w:val="left" w:pos="821"/>
        </w:tabs>
        <w:spacing w:line="259" w:lineRule="auto"/>
        <w:ind w:right="1433"/>
        <w:jc w:val="both"/>
        <w:rPr>
          <w:rFonts w:ascii="Arial" w:hAnsi="Arial" w:cs="Arial"/>
        </w:rPr>
      </w:pPr>
      <w:r w:rsidRPr="00152F73">
        <w:rPr>
          <w:rFonts w:ascii="Arial" w:hAnsi="Arial" w:cs="Arial"/>
        </w:rPr>
        <w:t>ischaemic heart disease</w:t>
      </w:r>
    </w:p>
    <w:p w14:paraId="1D52F869" w14:textId="77777777" w:rsidR="002E2C6D" w:rsidRPr="00152F73" w:rsidRDefault="002E2C6D" w:rsidP="002E2C6D">
      <w:pPr>
        <w:pStyle w:val="Heading2"/>
        <w:numPr>
          <w:ilvl w:val="1"/>
          <w:numId w:val="4"/>
        </w:numPr>
        <w:tabs>
          <w:tab w:val="left" w:pos="821"/>
        </w:tabs>
        <w:spacing w:line="259" w:lineRule="auto"/>
        <w:ind w:right="1433"/>
        <w:jc w:val="both"/>
        <w:rPr>
          <w:rFonts w:ascii="Arial" w:hAnsi="Arial" w:cs="Arial"/>
        </w:rPr>
      </w:pPr>
      <w:r w:rsidRPr="00152F73">
        <w:rPr>
          <w:rFonts w:ascii="Arial" w:hAnsi="Arial" w:cs="Arial"/>
        </w:rPr>
        <w:t>mild  to  severe  heart  failure</w:t>
      </w:r>
    </w:p>
    <w:p w14:paraId="13109AE1" w14:textId="77777777" w:rsidR="002E2C6D" w:rsidRPr="00152F73" w:rsidRDefault="002E2C6D" w:rsidP="002E2C6D">
      <w:pPr>
        <w:pStyle w:val="Heading2"/>
        <w:numPr>
          <w:ilvl w:val="1"/>
          <w:numId w:val="4"/>
        </w:numPr>
        <w:tabs>
          <w:tab w:val="left" w:pos="821"/>
        </w:tabs>
        <w:spacing w:line="259" w:lineRule="auto"/>
        <w:ind w:right="1433"/>
        <w:jc w:val="both"/>
        <w:rPr>
          <w:rFonts w:ascii="Arial" w:hAnsi="Arial" w:cs="Arial"/>
        </w:rPr>
      </w:pPr>
      <w:r w:rsidRPr="00152F73">
        <w:rPr>
          <w:rFonts w:ascii="Arial" w:hAnsi="Arial" w:cs="Arial"/>
        </w:rPr>
        <w:t>peripheral arterial</w:t>
      </w:r>
      <w:r w:rsidRPr="00152F73">
        <w:rPr>
          <w:rFonts w:ascii="Arial" w:hAnsi="Arial" w:cs="Arial"/>
          <w:spacing w:val="-3"/>
        </w:rPr>
        <w:t xml:space="preserve"> </w:t>
      </w:r>
      <w:r w:rsidRPr="00152F73">
        <w:rPr>
          <w:rFonts w:ascii="Arial" w:hAnsi="Arial" w:cs="Arial"/>
        </w:rPr>
        <w:t>disease</w:t>
      </w:r>
    </w:p>
    <w:p w14:paraId="7F126F31" w14:textId="77777777" w:rsidR="002E2C6D" w:rsidRPr="00152F73" w:rsidRDefault="002E2C6D" w:rsidP="002E2C6D">
      <w:pPr>
        <w:pStyle w:val="Heading2"/>
        <w:tabs>
          <w:tab w:val="left" w:pos="821"/>
        </w:tabs>
        <w:spacing w:line="259" w:lineRule="auto"/>
        <w:ind w:left="1180" w:right="1433"/>
        <w:jc w:val="both"/>
        <w:rPr>
          <w:rFonts w:ascii="Arial" w:hAnsi="Arial" w:cs="Arial"/>
        </w:rPr>
      </w:pPr>
    </w:p>
    <w:p w14:paraId="0140B99E" w14:textId="77777777" w:rsidR="002E2C6D" w:rsidRPr="00152F73" w:rsidRDefault="002E2C6D" w:rsidP="002E2C6D">
      <w:pPr>
        <w:pStyle w:val="ListParagraph"/>
        <w:numPr>
          <w:ilvl w:val="0"/>
          <w:numId w:val="4"/>
        </w:numPr>
        <w:tabs>
          <w:tab w:val="left" w:pos="821"/>
        </w:tabs>
        <w:spacing w:line="259" w:lineRule="auto"/>
        <w:ind w:right="1430"/>
        <w:rPr>
          <w:rFonts w:ascii="Arial" w:hAnsi="Arial" w:cs="Arial"/>
        </w:rPr>
      </w:pPr>
      <w:r w:rsidRPr="00152F73">
        <w:rPr>
          <w:rFonts w:ascii="Arial" w:hAnsi="Arial" w:cs="Arial"/>
        </w:rPr>
        <w:t>Cautions include</w:t>
      </w:r>
      <w:r w:rsidRPr="00152F73">
        <w:rPr>
          <w:rFonts w:ascii="Arial" w:hAnsi="Arial" w:cs="Arial"/>
          <w:vertAlign w:val="superscript"/>
        </w:rPr>
        <w:t>2</w:t>
      </w:r>
      <w:r w:rsidRPr="00152F73">
        <w:rPr>
          <w:rFonts w:ascii="Arial" w:hAnsi="Arial" w:cs="Arial"/>
        </w:rPr>
        <w:t xml:space="preserve">: </w:t>
      </w:r>
    </w:p>
    <w:p w14:paraId="2B1D9DF8"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Allergic disorders</w:t>
      </w:r>
    </w:p>
    <w:p w14:paraId="2A41F615"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cardiac impairment (NSAIDs may impair renal function)</w:t>
      </w:r>
    </w:p>
    <w:p w14:paraId="3F8A5171"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coagulation defects; connective-tissue disorders</w:t>
      </w:r>
    </w:p>
    <w:p w14:paraId="38633B06"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dehydration (risk of renal impairment)</w:t>
      </w:r>
    </w:p>
    <w:p w14:paraId="51DC249A"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elderly (risk of serious side-effects and fatalities)</w:t>
      </w:r>
    </w:p>
    <w:p w14:paraId="05751678"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history of cardiac failure</w:t>
      </w:r>
    </w:p>
    <w:p w14:paraId="77EBA9FF"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history of gastro- intestinal disorders</w:t>
      </w:r>
    </w:p>
    <w:p w14:paraId="26E58284"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hypertension; may mask symptoms of infection</w:t>
      </w:r>
    </w:p>
    <w:p w14:paraId="4DCCC490" w14:textId="77777777"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oedema</w:t>
      </w:r>
    </w:p>
    <w:p w14:paraId="6C914ADB" w14:textId="320D83B0" w:rsidR="002E2C6D" w:rsidRPr="00152F73" w:rsidRDefault="002E2C6D" w:rsidP="002E2C6D">
      <w:pPr>
        <w:pStyle w:val="ListParagraph"/>
        <w:numPr>
          <w:ilvl w:val="1"/>
          <w:numId w:val="4"/>
        </w:numPr>
        <w:tabs>
          <w:tab w:val="left" w:pos="821"/>
        </w:tabs>
        <w:spacing w:line="259" w:lineRule="auto"/>
        <w:ind w:right="1430"/>
        <w:rPr>
          <w:rFonts w:ascii="Arial" w:hAnsi="Arial" w:cs="Arial"/>
        </w:rPr>
      </w:pPr>
      <w:r w:rsidRPr="00152F73">
        <w:rPr>
          <w:rFonts w:ascii="Arial" w:hAnsi="Arial" w:cs="Arial"/>
        </w:rPr>
        <w:t>risk factors for cardiovascular</w:t>
      </w:r>
      <w:r w:rsidRPr="00152F73">
        <w:rPr>
          <w:rFonts w:ascii="Arial" w:hAnsi="Arial" w:cs="Arial"/>
          <w:spacing w:val="-1"/>
        </w:rPr>
        <w:t xml:space="preserve"> </w:t>
      </w:r>
      <w:r w:rsidRPr="00152F73">
        <w:rPr>
          <w:rFonts w:ascii="Arial" w:hAnsi="Arial" w:cs="Arial"/>
        </w:rPr>
        <w:t>events</w:t>
      </w:r>
    </w:p>
    <w:p w14:paraId="7DEF0400" w14:textId="77777777" w:rsidR="002E2C6D" w:rsidRPr="00152F73" w:rsidRDefault="002E2C6D" w:rsidP="002E2C6D">
      <w:pPr>
        <w:spacing w:line="256" w:lineRule="auto"/>
        <w:rPr>
          <w:rFonts w:ascii="Arial" w:hAnsi="Arial" w:cs="Arial"/>
        </w:rPr>
      </w:pPr>
    </w:p>
    <w:p w14:paraId="5579819D" w14:textId="77777777" w:rsidR="002E2C6D" w:rsidRPr="00152F73" w:rsidRDefault="002E2C6D" w:rsidP="002E2C6D">
      <w:pPr>
        <w:pStyle w:val="ListParagraph"/>
        <w:numPr>
          <w:ilvl w:val="0"/>
          <w:numId w:val="4"/>
        </w:numPr>
        <w:tabs>
          <w:tab w:val="left" w:pos="821"/>
        </w:tabs>
        <w:spacing w:line="256" w:lineRule="auto"/>
        <w:rPr>
          <w:rFonts w:ascii="Arial" w:hAnsi="Arial" w:cs="Arial"/>
        </w:rPr>
      </w:pPr>
      <w:r w:rsidRPr="00152F73">
        <w:rPr>
          <w:rFonts w:ascii="Arial" w:hAnsi="Arial" w:cs="Arial"/>
        </w:rPr>
        <w:t>Gastroprotection</w:t>
      </w:r>
    </w:p>
    <w:p w14:paraId="316E4990" w14:textId="77777777" w:rsidR="002E2C6D" w:rsidRPr="00152F73" w:rsidRDefault="002E2C6D" w:rsidP="002E2C6D">
      <w:pPr>
        <w:pStyle w:val="ListParagraph"/>
        <w:numPr>
          <w:ilvl w:val="1"/>
          <w:numId w:val="4"/>
        </w:numPr>
        <w:tabs>
          <w:tab w:val="left" w:pos="821"/>
        </w:tabs>
        <w:spacing w:line="256" w:lineRule="auto"/>
        <w:rPr>
          <w:rFonts w:ascii="Arial" w:hAnsi="Arial" w:cs="Arial"/>
        </w:rPr>
      </w:pPr>
      <w:r w:rsidRPr="00152F73">
        <w:rPr>
          <w:rFonts w:ascii="Arial" w:hAnsi="Arial" w:cs="Arial"/>
        </w:rPr>
        <w:t>where</w:t>
      </w:r>
      <w:r w:rsidRPr="00152F73">
        <w:rPr>
          <w:rFonts w:ascii="Arial" w:hAnsi="Arial" w:cs="Arial"/>
          <w:spacing w:val="-13"/>
        </w:rPr>
        <w:t xml:space="preserve"> </w:t>
      </w:r>
      <w:r w:rsidRPr="00152F73">
        <w:rPr>
          <w:rFonts w:ascii="Arial" w:hAnsi="Arial" w:cs="Arial"/>
        </w:rPr>
        <w:t>parecoxib</w:t>
      </w:r>
      <w:r w:rsidRPr="00152F73">
        <w:rPr>
          <w:rFonts w:ascii="Arial" w:hAnsi="Arial" w:cs="Arial"/>
          <w:spacing w:val="-12"/>
        </w:rPr>
        <w:t xml:space="preserve"> </w:t>
      </w:r>
      <w:r w:rsidRPr="00152F73">
        <w:rPr>
          <w:rFonts w:ascii="Arial" w:hAnsi="Arial" w:cs="Arial"/>
        </w:rPr>
        <w:t>has</w:t>
      </w:r>
      <w:r w:rsidRPr="00152F73">
        <w:rPr>
          <w:rFonts w:ascii="Arial" w:hAnsi="Arial" w:cs="Arial"/>
          <w:spacing w:val="-13"/>
        </w:rPr>
        <w:t xml:space="preserve"> </w:t>
      </w:r>
      <w:r w:rsidRPr="00152F73">
        <w:rPr>
          <w:rFonts w:ascii="Arial" w:hAnsi="Arial" w:cs="Arial"/>
        </w:rPr>
        <w:t>been</w:t>
      </w:r>
      <w:r w:rsidRPr="00152F73">
        <w:rPr>
          <w:rFonts w:ascii="Arial" w:hAnsi="Arial" w:cs="Arial"/>
          <w:spacing w:val="-13"/>
        </w:rPr>
        <w:t xml:space="preserve"> </w:t>
      </w:r>
      <w:r w:rsidRPr="00152F73">
        <w:rPr>
          <w:rFonts w:ascii="Arial" w:hAnsi="Arial" w:cs="Arial"/>
        </w:rPr>
        <w:t>used</w:t>
      </w:r>
      <w:r w:rsidRPr="00152F73">
        <w:rPr>
          <w:rFonts w:ascii="Arial" w:hAnsi="Arial" w:cs="Arial"/>
          <w:spacing w:val="-12"/>
        </w:rPr>
        <w:t xml:space="preserve"> </w:t>
      </w:r>
      <w:r w:rsidRPr="00152F73">
        <w:rPr>
          <w:rFonts w:ascii="Arial" w:hAnsi="Arial" w:cs="Arial"/>
        </w:rPr>
        <w:t>in</w:t>
      </w:r>
      <w:r w:rsidRPr="00152F73">
        <w:rPr>
          <w:rFonts w:ascii="Arial" w:hAnsi="Arial" w:cs="Arial"/>
          <w:spacing w:val="-13"/>
        </w:rPr>
        <w:t xml:space="preserve"> </w:t>
      </w:r>
      <w:r w:rsidRPr="00152F73">
        <w:rPr>
          <w:rFonts w:ascii="Arial" w:hAnsi="Arial" w:cs="Arial"/>
        </w:rPr>
        <w:t>existing</w:t>
      </w:r>
      <w:r w:rsidRPr="00152F73">
        <w:rPr>
          <w:rFonts w:ascii="Arial" w:hAnsi="Arial" w:cs="Arial"/>
          <w:spacing w:val="-11"/>
        </w:rPr>
        <w:t xml:space="preserve"> </w:t>
      </w:r>
      <w:r w:rsidRPr="00152F73">
        <w:rPr>
          <w:rFonts w:ascii="Arial" w:hAnsi="Arial" w:cs="Arial"/>
        </w:rPr>
        <w:t>palliative</w:t>
      </w:r>
      <w:r w:rsidRPr="00152F73">
        <w:rPr>
          <w:rFonts w:ascii="Arial" w:hAnsi="Arial" w:cs="Arial"/>
          <w:spacing w:val="-14"/>
        </w:rPr>
        <w:t xml:space="preserve"> </w:t>
      </w:r>
      <w:r w:rsidRPr="00152F73">
        <w:rPr>
          <w:rFonts w:ascii="Arial" w:hAnsi="Arial" w:cs="Arial"/>
        </w:rPr>
        <w:t>care</w:t>
      </w:r>
      <w:r w:rsidRPr="00152F73">
        <w:rPr>
          <w:rFonts w:ascii="Arial" w:hAnsi="Arial" w:cs="Arial"/>
          <w:spacing w:val="-13"/>
        </w:rPr>
        <w:t xml:space="preserve"> </w:t>
      </w:r>
      <w:r w:rsidRPr="00152F73">
        <w:rPr>
          <w:rFonts w:ascii="Arial" w:hAnsi="Arial" w:cs="Arial"/>
        </w:rPr>
        <w:t>settings,</w:t>
      </w:r>
      <w:r w:rsidRPr="00152F73">
        <w:rPr>
          <w:rFonts w:ascii="Arial" w:hAnsi="Arial" w:cs="Arial"/>
          <w:spacing w:val="-12"/>
        </w:rPr>
        <w:t xml:space="preserve"> </w:t>
      </w:r>
      <w:r w:rsidRPr="00152F73">
        <w:rPr>
          <w:rFonts w:ascii="Arial" w:hAnsi="Arial" w:cs="Arial"/>
        </w:rPr>
        <w:t>most</w:t>
      </w:r>
      <w:r w:rsidRPr="00152F73">
        <w:rPr>
          <w:rFonts w:ascii="Arial" w:hAnsi="Arial" w:cs="Arial"/>
          <w:spacing w:val="-9"/>
        </w:rPr>
        <w:t xml:space="preserve"> </w:t>
      </w:r>
      <w:r w:rsidRPr="00152F73">
        <w:rPr>
          <w:rFonts w:ascii="Arial" w:hAnsi="Arial" w:cs="Arial"/>
        </w:rPr>
        <w:t>patients</w:t>
      </w:r>
      <w:r w:rsidRPr="00152F73">
        <w:rPr>
          <w:rFonts w:ascii="Arial" w:hAnsi="Arial" w:cs="Arial"/>
          <w:spacing w:val="-13"/>
        </w:rPr>
        <w:t xml:space="preserve"> </w:t>
      </w:r>
      <w:r w:rsidRPr="00152F73">
        <w:rPr>
          <w:rFonts w:ascii="Arial" w:hAnsi="Arial" w:cs="Arial"/>
        </w:rPr>
        <w:t>have been prescribed gastroprotection, although this may not be necessary</w:t>
      </w:r>
      <w:r w:rsidRPr="00152F73">
        <w:rPr>
          <w:rFonts w:ascii="Arial" w:hAnsi="Arial" w:cs="Arial"/>
          <w:vertAlign w:val="superscript"/>
        </w:rPr>
        <w:t>1</w:t>
      </w:r>
      <w:r w:rsidRPr="00152F73">
        <w:rPr>
          <w:rFonts w:ascii="Arial" w:hAnsi="Arial" w:cs="Arial"/>
        </w:rPr>
        <w:t>. Parecoxib is compatible with</w:t>
      </w:r>
      <w:r w:rsidRPr="00152F73">
        <w:rPr>
          <w:rFonts w:ascii="Arial" w:hAnsi="Arial" w:cs="Arial"/>
          <w:spacing w:val="-2"/>
        </w:rPr>
        <w:t xml:space="preserve"> </w:t>
      </w:r>
      <w:r w:rsidRPr="00152F73">
        <w:rPr>
          <w:rFonts w:ascii="Arial" w:hAnsi="Arial" w:cs="Arial"/>
        </w:rPr>
        <w:t>ranitidine and esomeprazole</w:t>
      </w:r>
      <w:r w:rsidRPr="00152F73">
        <w:rPr>
          <w:rFonts w:ascii="Arial" w:hAnsi="Arial" w:cs="Arial"/>
          <w:vertAlign w:val="superscript"/>
        </w:rPr>
        <w:t>7</w:t>
      </w:r>
      <w:r w:rsidRPr="00152F73">
        <w:rPr>
          <w:rFonts w:ascii="Arial" w:hAnsi="Arial" w:cs="Arial"/>
        </w:rPr>
        <w:t>.</w:t>
      </w:r>
    </w:p>
    <w:p w14:paraId="6F08F7DF" w14:textId="77777777" w:rsidR="002E2C6D" w:rsidRPr="00152F73" w:rsidRDefault="002E2C6D" w:rsidP="002E2C6D">
      <w:pPr>
        <w:pStyle w:val="ListParagraph"/>
        <w:tabs>
          <w:tab w:val="left" w:pos="821"/>
        </w:tabs>
        <w:spacing w:line="256" w:lineRule="auto"/>
        <w:ind w:left="1180" w:firstLine="0"/>
        <w:rPr>
          <w:rFonts w:ascii="Arial" w:hAnsi="Arial" w:cs="Arial"/>
        </w:rPr>
      </w:pPr>
    </w:p>
    <w:p w14:paraId="461A08B1" w14:textId="77777777" w:rsidR="002E2C6D" w:rsidRPr="00152F73" w:rsidRDefault="002E2C6D" w:rsidP="002E2C6D">
      <w:pPr>
        <w:pStyle w:val="ListParagraph"/>
        <w:numPr>
          <w:ilvl w:val="0"/>
          <w:numId w:val="4"/>
        </w:numPr>
        <w:tabs>
          <w:tab w:val="left" w:pos="821"/>
        </w:tabs>
        <w:spacing w:before="7" w:line="256" w:lineRule="auto"/>
        <w:rPr>
          <w:rFonts w:ascii="Arial" w:hAnsi="Arial" w:cs="Arial"/>
        </w:rPr>
      </w:pPr>
      <w:r w:rsidRPr="00152F73">
        <w:rPr>
          <w:rFonts w:ascii="Arial" w:hAnsi="Arial" w:cs="Arial"/>
        </w:rPr>
        <w:t>Renal function</w:t>
      </w:r>
    </w:p>
    <w:p w14:paraId="6FCC50AE" w14:textId="3BB9C35E" w:rsidR="002E2C6D" w:rsidRPr="00152F73" w:rsidRDefault="002E2C6D" w:rsidP="002E2C6D">
      <w:pPr>
        <w:pStyle w:val="ListParagraph"/>
        <w:numPr>
          <w:ilvl w:val="1"/>
          <w:numId w:val="4"/>
        </w:numPr>
        <w:tabs>
          <w:tab w:val="left" w:pos="821"/>
        </w:tabs>
        <w:spacing w:before="7" w:line="256" w:lineRule="auto"/>
        <w:rPr>
          <w:rFonts w:ascii="Arial" w:hAnsi="Arial" w:cs="Arial"/>
        </w:rPr>
      </w:pPr>
      <w:r w:rsidRPr="00152F73">
        <w:rPr>
          <w:rFonts w:ascii="Arial" w:hAnsi="Arial" w:cs="Arial"/>
        </w:rPr>
        <w:t xml:space="preserve">the renal risks of different NSAIDs, including parecoxib, are similar; </w:t>
      </w:r>
      <w:r w:rsidR="003F271B" w:rsidRPr="00152F73">
        <w:rPr>
          <w:rFonts w:ascii="Arial" w:hAnsi="Arial" w:cs="Arial"/>
        </w:rPr>
        <w:t>generally,</w:t>
      </w:r>
      <w:r w:rsidRPr="00152F73">
        <w:rPr>
          <w:rFonts w:ascii="Arial" w:hAnsi="Arial" w:cs="Arial"/>
        </w:rPr>
        <w:t xml:space="preserve"> NSAIDs are not recommended in severe renal impairment. No significant additional risk to renal function has been identified in studies of parecoxib, to</w:t>
      </w:r>
      <w:r w:rsidRPr="00152F73">
        <w:rPr>
          <w:rFonts w:ascii="Arial" w:hAnsi="Arial" w:cs="Arial"/>
          <w:spacing w:val="-1"/>
        </w:rPr>
        <w:t xml:space="preserve"> </w:t>
      </w:r>
      <w:r w:rsidRPr="00152F73">
        <w:rPr>
          <w:rFonts w:ascii="Arial" w:hAnsi="Arial" w:cs="Arial"/>
        </w:rPr>
        <w:t>date.</w:t>
      </w:r>
    </w:p>
    <w:p w14:paraId="0442DBD1" w14:textId="77777777" w:rsidR="002E2C6D" w:rsidRPr="00152F73" w:rsidRDefault="002E2C6D" w:rsidP="002E2C6D">
      <w:pPr>
        <w:spacing w:line="256" w:lineRule="auto"/>
        <w:rPr>
          <w:rFonts w:ascii="Arial" w:hAnsi="Arial" w:cs="Arial"/>
        </w:rPr>
      </w:pPr>
    </w:p>
    <w:p w14:paraId="13F7A0B1" w14:textId="77777777" w:rsidR="002E2C6D" w:rsidRPr="00152F73" w:rsidRDefault="002E2C6D" w:rsidP="002E2C6D">
      <w:pPr>
        <w:pStyle w:val="ListParagraph"/>
        <w:numPr>
          <w:ilvl w:val="0"/>
          <w:numId w:val="4"/>
        </w:numPr>
        <w:tabs>
          <w:tab w:val="left" w:pos="821"/>
        </w:tabs>
        <w:spacing w:before="7" w:line="256" w:lineRule="auto"/>
        <w:ind w:right="1438"/>
        <w:rPr>
          <w:rFonts w:ascii="Arial" w:hAnsi="Arial" w:cs="Arial"/>
        </w:rPr>
      </w:pPr>
      <w:r w:rsidRPr="00152F73">
        <w:rPr>
          <w:rFonts w:ascii="Arial" w:hAnsi="Arial" w:cs="Arial"/>
        </w:rPr>
        <w:t>Cardiovascular events</w:t>
      </w:r>
    </w:p>
    <w:p w14:paraId="1DDC6FE2" w14:textId="77777777" w:rsidR="002E2C6D" w:rsidRPr="00152F73" w:rsidRDefault="002E2C6D" w:rsidP="002E2C6D">
      <w:pPr>
        <w:pStyle w:val="ListParagraph"/>
        <w:numPr>
          <w:ilvl w:val="1"/>
          <w:numId w:val="4"/>
        </w:numPr>
        <w:tabs>
          <w:tab w:val="left" w:pos="821"/>
        </w:tabs>
        <w:spacing w:before="7" w:line="256" w:lineRule="auto"/>
        <w:ind w:right="1438"/>
        <w:rPr>
          <w:rFonts w:ascii="Arial" w:hAnsi="Arial" w:cs="Arial"/>
        </w:rPr>
      </w:pPr>
      <w:r w:rsidRPr="00152F73">
        <w:rPr>
          <w:rFonts w:ascii="Arial" w:hAnsi="Arial" w:cs="Arial"/>
        </w:rPr>
        <w:t>Both non-selective NSAIDs and COX-2 inhibitors are associated with an increased risk of cardiovascular events in long-term</w:t>
      </w:r>
      <w:r w:rsidRPr="00152F73">
        <w:rPr>
          <w:rFonts w:ascii="Arial" w:hAnsi="Arial" w:cs="Arial"/>
          <w:spacing w:val="-3"/>
        </w:rPr>
        <w:t xml:space="preserve"> </w:t>
      </w:r>
      <w:r w:rsidRPr="00152F73">
        <w:rPr>
          <w:rFonts w:ascii="Arial" w:hAnsi="Arial" w:cs="Arial"/>
        </w:rPr>
        <w:t>use.</w:t>
      </w:r>
    </w:p>
    <w:p w14:paraId="2CBCF2D1" w14:textId="77777777" w:rsidR="002E2C6D" w:rsidRPr="00152F73" w:rsidRDefault="002E2C6D" w:rsidP="002E2C6D">
      <w:pPr>
        <w:pStyle w:val="ListParagraph"/>
        <w:tabs>
          <w:tab w:val="left" w:pos="821"/>
        </w:tabs>
        <w:spacing w:before="7" w:line="256" w:lineRule="auto"/>
        <w:ind w:left="1180" w:right="1438" w:firstLine="0"/>
        <w:rPr>
          <w:rFonts w:ascii="Arial" w:hAnsi="Arial" w:cs="Arial"/>
        </w:rPr>
      </w:pPr>
    </w:p>
    <w:p w14:paraId="67BBFADD" w14:textId="77777777" w:rsidR="002E2C6D" w:rsidRPr="00152F73" w:rsidRDefault="002E2C6D" w:rsidP="002E2C6D">
      <w:pPr>
        <w:pStyle w:val="ListParagraph"/>
        <w:numPr>
          <w:ilvl w:val="0"/>
          <w:numId w:val="4"/>
        </w:numPr>
        <w:tabs>
          <w:tab w:val="left" w:pos="821"/>
        </w:tabs>
        <w:spacing w:before="5" w:line="256" w:lineRule="auto"/>
        <w:ind w:right="1439"/>
        <w:rPr>
          <w:rFonts w:ascii="Arial" w:hAnsi="Arial" w:cs="Arial"/>
        </w:rPr>
      </w:pPr>
      <w:r w:rsidRPr="00152F73">
        <w:rPr>
          <w:rFonts w:ascii="Arial" w:hAnsi="Arial" w:cs="Arial"/>
        </w:rPr>
        <w:t>Parecoxib is also associated with unpredictable but serious skin reactions including angioedema, erythema multiforme and Stevens- Johnson Syndrome. In the event to this, discontinue parecoxib and seek urgent specialist advice.</w:t>
      </w:r>
    </w:p>
    <w:p w14:paraId="3193E04E" w14:textId="77777777" w:rsidR="002E2C6D" w:rsidRPr="00152F73" w:rsidRDefault="002E2C6D" w:rsidP="002E2C6D">
      <w:pPr>
        <w:pStyle w:val="ListParagraph"/>
        <w:tabs>
          <w:tab w:val="left" w:pos="821"/>
        </w:tabs>
        <w:spacing w:before="5" w:line="256" w:lineRule="auto"/>
        <w:ind w:left="460" w:right="1439" w:firstLine="0"/>
        <w:rPr>
          <w:rFonts w:ascii="Arial" w:hAnsi="Arial" w:cs="Arial"/>
        </w:rPr>
      </w:pPr>
    </w:p>
    <w:p w14:paraId="71866B2D" w14:textId="77777777" w:rsidR="002E2C6D" w:rsidRPr="00152F73" w:rsidRDefault="002E2C6D" w:rsidP="002E2C6D">
      <w:pPr>
        <w:pStyle w:val="ListParagraph"/>
        <w:numPr>
          <w:ilvl w:val="0"/>
          <w:numId w:val="4"/>
        </w:numPr>
        <w:tabs>
          <w:tab w:val="left" w:pos="821"/>
        </w:tabs>
        <w:spacing w:before="8" w:line="256" w:lineRule="auto"/>
        <w:ind w:right="1440"/>
        <w:rPr>
          <w:rFonts w:ascii="Arial" w:hAnsi="Arial" w:cs="Arial"/>
        </w:rPr>
      </w:pPr>
      <w:r w:rsidRPr="00152F73">
        <w:rPr>
          <w:rFonts w:ascii="Arial" w:hAnsi="Arial" w:cs="Arial"/>
        </w:rPr>
        <w:t>In</w:t>
      </w:r>
      <w:r w:rsidRPr="00152F73">
        <w:rPr>
          <w:rFonts w:ascii="Arial" w:hAnsi="Arial" w:cs="Arial"/>
          <w:spacing w:val="-11"/>
        </w:rPr>
        <w:t xml:space="preserve"> </w:t>
      </w:r>
      <w:r w:rsidRPr="00152F73">
        <w:rPr>
          <w:rFonts w:ascii="Arial" w:hAnsi="Arial" w:cs="Arial"/>
        </w:rPr>
        <w:t>a</w:t>
      </w:r>
      <w:r w:rsidRPr="00152F73">
        <w:rPr>
          <w:rFonts w:ascii="Arial" w:hAnsi="Arial" w:cs="Arial"/>
          <w:spacing w:val="-10"/>
        </w:rPr>
        <w:t xml:space="preserve"> </w:t>
      </w:r>
      <w:r w:rsidRPr="00152F73">
        <w:rPr>
          <w:rFonts w:ascii="Arial" w:hAnsi="Arial" w:cs="Arial"/>
        </w:rPr>
        <w:t>pooled</w:t>
      </w:r>
      <w:r w:rsidRPr="00152F73">
        <w:rPr>
          <w:rFonts w:ascii="Arial" w:hAnsi="Arial" w:cs="Arial"/>
          <w:spacing w:val="-11"/>
        </w:rPr>
        <w:t xml:space="preserve"> </w:t>
      </w:r>
      <w:r w:rsidRPr="00152F73">
        <w:rPr>
          <w:rFonts w:ascii="Arial" w:hAnsi="Arial" w:cs="Arial"/>
        </w:rPr>
        <w:t>analysis</w:t>
      </w:r>
      <w:r w:rsidRPr="00152F73">
        <w:rPr>
          <w:rFonts w:ascii="Arial" w:hAnsi="Arial" w:cs="Arial"/>
          <w:spacing w:val="-12"/>
        </w:rPr>
        <w:t xml:space="preserve"> </w:t>
      </w:r>
      <w:r w:rsidRPr="00152F73">
        <w:rPr>
          <w:rFonts w:ascii="Arial" w:hAnsi="Arial" w:cs="Arial"/>
        </w:rPr>
        <w:t>of</w:t>
      </w:r>
      <w:r w:rsidRPr="00152F73">
        <w:rPr>
          <w:rFonts w:ascii="Arial" w:hAnsi="Arial" w:cs="Arial"/>
          <w:spacing w:val="-12"/>
        </w:rPr>
        <w:t xml:space="preserve"> </w:t>
      </w:r>
      <w:r w:rsidRPr="00152F73">
        <w:rPr>
          <w:rFonts w:ascii="Arial" w:hAnsi="Arial" w:cs="Arial"/>
        </w:rPr>
        <w:t>28</w:t>
      </w:r>
      <w:r w:rsidRPr="00152F73">
        <w:rPr>
          <w:rFonts w:ascii="Arial" w:hAnsi="Arial" w:cs="Arial"/>
          <w:spacing w:val="-11"/>
        </w:rPr>
        <w:t xml:space="preserve"> </w:t>
      </w:r>
      <w:r w:rsidRPr="00152F73">
        <w:rPr>
          <w:rFonts w:ascii="Arial" w:hAnsi="Arial" w:cs="Arial"/>
        </w:rPr>
        <w:t>placebo-controlled</w:t>
      </w:r>
      <w:r w:rsidRPr="00152F73">
        <w:rPr>
          <w:rFonts w:ascii="Arial" w:hAnsi="Arial" w:cs="Arial"/>
          <w:spacing w:val="-10"/>
        </w:rPr>
        <w:t xml:space="preserve"> </w:t>
      </w:r>
      <w:r w:rsidRPr="00152F73">
        <w:rPr>
          <w:rFonts w:ascii="Arial" w:hAnsi="Arial" w:cs="Arial"/>
        </w:rPr>
        <w:t>trials</w:t>
      </w:r>
      <w:r w:rsidRPr="00152F73">
        <w:rPr>
          <w:rFonts w:ascii="Arial" w:hAnsi="Arial" w:cs="Arial"/>
          <w:spacing w:val="-13"/>
        </w:rPr>
        <w:t xml:space="preserve"> </w:t>
      </w:r>
      <w:r w:rsidRPr="00152F73">
        <w:rPr>
          <w:rFonts w:ascii="Arial" w:hAnsi="Arial" w:cs="Arial"/>
        </w:rPr>
        <w:t>of</w:t>
      </w:r>
      <w:r w:rsidRPr="00152F73">
        <w:rPr>
          <w:rFonts w:ascii="Arial" w:hAnsi="Arial" w:cs="Arial"/>
          <w:spacing w:val="-11"/>
        </w:rPr>
        <w:t xml:space="preserve"> </w:t>
      </w:r>
      <w:r w:rsidRPr="00152F73">
        <w:rPr>
          <w:rFonts w:ascii="Arial" w:hAnsi="Arial" w:cs="Arial"/>
        </w:rPr>
        <w:t>parecoxib</w:t>
      </w:r>
      <w:r w:rsidRPr="00152F73">
        <w:rPr>
          <w:rFonts w:ascii="Arial" w:hAnsi="Arial" w:cs="Arial"/>
          <w:spacing w:val="-11"/>
        </w:rPr>
        <w:t xml:space="preserve"> </w:t>
      </w:r>
      <w:r w:rsidRPr="00152F73">
        <w:rPr>
          <w:rFonts w:ascii="Arial" w:hAnsi="Arial" w:cs="Arial"/>
        </w:rPr>
        <w:t>and</w:t>
      </w:r>
      <w:r w:rsidRPr="00152F73">
        <w:rPr>
          <w:rFonts w:ascii="Arial" w:hAnsi="Arial" w:cs="Arial"/>
          <w:spacing w:val="-10"/>
        </w:rPr>
        <w:t xml:space="preserve"> </w:t>
      </w:r>
      <w:r w:rsidRPr="00152F73">
        <w:rPr>
          <w:rFonts w:ascii="Arial" w:hAnsi="Arial" w:cs="Arial"/>
        </w:rPr>
        <w:t>review</w:t>
      </w:r>
      <w:r w:rsidRPr="00152F73">
        <w:rPr>
          <w:rFonts w:ascii="Arial" w:hAnsi="Arial" w:cs="Arial"/>
          <w:spacing w:val="-11"/>
        </w:rPr>
        <w:t xml:space="preserve"> </w:t>
      </w:r>
      <w:r w:rsidRPr="00152F73">
        <w:rPr>
          <w:rFonts w:ascii="Arial" w:hAnsi="Arial" w:cs="Arial"/>
        </w:rPr>
        <w:t>of</w:t>
      </w:r>
      <w:r w:rsidRPr="00152F73">
        <w:rPr>
          <w:rFonts w:ascii="Arial" w:hAnsi="Arial" w:cs="Arial"/>
          <w:spacing w:val="-12"/>
        </w:rPr>
        <w:t xml:space="preserve"> </w:t>
      </w:r>
      <w:r w:rsidRPr="00152F73">
        <w:rPr>
          <w:rFonts w:ascii="Arial" w:hAnsi="Arial" w:cs="Arial"/>
        </w:rPr>
        <w:t>post-authorisation</w:t>
      </w:r>
      <w:r w:rsidRPr="00152F73">
        <w:rPr>
          <w:rFonts w:ascii="Arial" w:hAnsi="Arial" w:cs="Arial"/>
          <w:spacing w:val="-9"/>
        </w:rPr>
        <w:t xml:space="preserve"> </w:t>
      </w:r>
      <w:r w:rsidRPr="00152F73">
        <w:rPr>
          <w:rFonts w:ascii="Arial" w:hAnsi="Arial" w:cs="Arial"/>
        </w:rPr>
        <w:t xml:space="preserve">safety, for patients receiving up to 7 days of parecoxib administration, the GI ulceration-related events, renal impairment, hypersensitivity reactions, severe cutaneous </w:t>
      </w:r>
      <w:r w:rsidRPr="00152F73">
        <w:rPr>
          <w:rFonts w:ascii="Arial" w:hAnsi="Arial" w:cs="Arial"/>
        </w:rPr>
        <w:lastRenderedPageBreak/>
        <w:t>reactions and cardiovascular embolic/thrombotic events were similar to</w:t>
      </w:r>
      <w:r w:rsidRPr="00152F73">
        <w:rPr>
          <w:rFonts w:ascii="Arial" w:hAnsi="Arial" w:cs="Arial"/>
          <w:spacing w:val="-1"/>
        </w:rPr>
        <w:t xml:space="preserve"> </w:t>
      </w:r>
      <w:r w:rsidRPr="00152F73">
        <w:rPr>
          <w:rFonts w:ascii="Arial" w:hAnsi="Arial" w:cs="Arial"/>
        </w:rPr>
        <w:t>placebo</w:t>
      </w:r>
      <w:r w:rsidRPr="00152F73">
        <w:rPr>
          <w:rFonts w:ascii="Arial" w:hAnsi="Arial" w:cs="Arial"/>
          <w:vertAlign w:val="superscript"/>
        </w:rPr>
        <w:t>8</w:t>
      </w:r>
    </w:p>
    <w:p w14:paraId="7BF4B72D" w14:textId="77777777" w:rsidR="00AB5308" w:rsidRPr="00152F73" w:rsidRDefault="00AB5308" w:rsidP="00AB5308">
      <w:pPr>
        <w:tabs>
          <w:tab w:val="left" w:pos="821"/>
        </w:tabs>
        <w:spacing w:before="8" w:line="256" w:lineRule="auto"/>
        <w:ind w:right="1440"/>
        <w:rPr>
          <w:rFonts w:ascii="Arial" w:hAnsi="Arial" w:cs="Arial"/>
        </w:rPr>
      </w:pPr>
    </w:p>
    <w:p w14:paraId="186FF8CE" w14:textId="52FBF184" w:rsidR="00AB5308" w:rsidRPr="00152F73" w:rsidRDefault="000976C3" w:rsidP="00AB5308">
      <w:pPr>
        <w:tabs>
          <w:tab w:val="left" w:pos="821"/>
        </w:tabs>
        <w:spacing w:before="8" w:line="256" w:lineRule="auto"/>
        <w:ind w:right="1440"/>
        <w:rPr>
          <w:rFonts w:ascii="Arial" w:hAnsi="Arial" w:cs="Arial"/>
          <w:b/>
          <w:bCs/>
        </w:rPr>
      </w:pPr>
      <w:r w:rsidRPr="00152F73">
        <w:rPr>
          <w:rFonts w:ascii="Arial" w:hAnsi="Arial" w:cs="Arial"/>
          <w:b/>
          <w:bCs/>
        </w:rPr>
        <w:t xml:space="preserve">Monitoring of the </w:t>
      </w:r>
      <w:r w:rsidR="00D75C96" w:rsidRPr="00152F73">
        <w:rPr>
          <w:rFonts w:ascii="Arial" w:hAnsi="Arial" w:cs="Arial"/>
          <w:b/>
          <w:bCs/>
        </w:rPr>
        <w:t>guidelines</w:t>
      </w:r>
    </w:p>
    <w:p w14:paraId="54DC8240" w14:textId="77777777" w:rsidR="00AB5308" w:rsidRPr="00152F73" w:rsidRDefault="00AB5308" w:rsidP="00AB5308">
      <w:pPr>
        <w:tabs>
          <w:tab w:val="left" w:pos="821"/>
        </w:tabs>
        <w:spacing w:before="8" w:line="256" w:lineRule="auto"/>
        <w:ind w:right="1440"/>
        <w:rPr>
          <w:rFonts w:ascii="Arial" w:hAnsi="Arial" w:cs="Arial"/>
        </w:rPr>
      </w:pPr>
    </w:p>
    <w:p w14:paraId="6D2C39E0" w14:textId="7F6A5130" w:rsidR="000976C3" w:rsidRPr="00152F73" w:rsidRDefault="000976C3" w:rsidP="000976C3">
      <w:pPr>
        <w:pStyle w:val="BodyText"/>
        <w:spacing w:before="59" w:line="259" w:lineRule="auto"/>
        <w:ind w:left="100" w:right="1414"/>
        <w:rPr>
          <w:rFonts w:ascii="Arial" w:hAnsi="Arial" w:cs="Arial"/>
          <w:sz w:val="22"/>
          <w:szCs w:val="22"/>
        </w:rPr>
      </w:pPr>
      <w:r w:rsidRPr="00152F73">
        <w:rPr>
          <w:rFonts w:ascii="Arial" w:hAnsi="Arial" w:cs="Arial"/>
          <w:sz w:val="22"/>
          <w:szCs w:val="22"/>
        </w:rPr>
        <w:t>The</w:t>
      </w:r>
      <w:r w:rsidRPr="00152F73">
        <w:rPr>
          <w:rFonts w:ascii="Arial" w:hAnsi="Arial" w:cs="Arial"/>
          <w:spacing w:val="-13"/>
          <w:sz w:val="22"/>
          <w:szCs w:val="22"/>
        </w:rPr>
        <w:t xml:space="preserve"> </w:t>
      </w:r>
      <w:r w:rsidRPr="00152F73">
        <w:rPr>
          <w:rFonts w:ascii="Arial" w:hAnsi="Arial" w:cs="Arial"/>
          <w:sz w:val="22"/>
          <w:szCs w:val="22"/>
        </w:rPr>
        <w:t>use</w:t>
      </w:r>
      <w:r w:rsidRPr="00152F73">
        <w:rPr>
          <w:rFonts w:ascii="Arial" w:hAnsi="Arial" w:cs="Arial"/>
          <w:spacing w:val="-13"/>
          <w:sz w:val="22"/>
          <w:szCs w:val="22"/>
        </w:rPr>
        <w:t xml:space="preserve"> </w:t>
      </w:r>
      <w:r w:rsidRPr="00152F73">
        <w:rPr>
          <w:rFonts w:ascii="Arial" w:hAnsi="Arial" w:cs="Arial"/>
          <w:sz w:val="22"/>
          <w:szCs w:val="22"/>
        </w:rPr>
        <w:t>of</w:t>
      </w:r>
      <w:r w:rsidRPr="00152F73">
        <w:rPr>
          <w:rFonts w:ascii="Arial" w:hAnsi="Arial" w:cs="Arial"/>
          <w:spacing w:val="-12"/>
          <w:sz w:val="22"/>
          <w:szCs w:val="22"/>
        </w:rPr>
        <w:t xml:space="preserve"> </w:t>
      </w:r>
      <w:r w:rsidRPr="00152F73">
        <w:rPr>
          <w:rFonts w:ascii="Arial" w:hAnsi="Arial" w:cs="Arial"/>
          <w:sz w:val="22"/>
          <w:szCs w:val="22"/>
        </w:rPr>
        <w:t>this</w:t>
      </w:r>
      <w:r w:rsidRPr="00152F73">
        <w:rPr>
          <w:rFonts w:ascii="Arial" w:hAnsi="Arial" w:cs="Arial"/>
          <w:spacing w:val="-14"/>
          <w:sz w:val="22"/>
          <w:szCs w:val="22"/>
        </w:rPr>
        <w:t xml:space="preserve"> </w:t>
      </w:r>
      <w:r w:rsidRPr="00152F73">
        <w:rPr>
          <w:rFonts w:ascii="Arial" w:hAnsi="Arial" w:cs="Arial"/>
          <w:sz w:val="22"/>
          <w:szCs w:val="22"/>
        </w:rPr>
        <w:t>guideline</w:t>
      </w:r>
      <w:r w:rsidRPr="00152F73">
        <w:rPr>
          <w:rFonts w:ascii="Arial" w:hAnsi="Arial" w:cs="Arial"/>
          <w:spacing w:val="-12"/>
          <w:sz w:val="22"/>
          <w:szCs w:val="22"/>
        </w:rPr>
        <w:t xml:space="preserve"> </w:t>
      </w:r>
      <w:r w:rsidRPr="00152F73">
        <w:rPr>
          <w:rFonts w:ascii="Arial" w:hAnsi="Arial" w:cs="Arial"/>
          <w:sz w:val="22"/>
          <w:szCs w:val="22"/>
        </w:rPr>
        <w:t>will</w:t>
      </w:r>
      <w:r w:rsidRPr="00152F73">
        <w:rPr>
          <w:rFonts w:ascii="Arial" w:hAnsi="Arial" w:cs="Arial"/>
          <w:spacing w:val="-13"/>
          <w:sz w:val="22"/>
          <w:szCs w:val="22"/>
        </w:rPr>
        <w:t xml:space="preserve"> </w:t>
      </w:r>
      <w:r w:rsidRPr="00152F73">
        <w:rPr>
          <w:rFonts w:ascii="Arial" w:hAnsi="Arial" w:cs="Arial"/>
          <w:sz w:val="22"/>
          <w:szCs w:val="22"/>
        </w:rPr>
        <w:t>be</w:t>
      </w:r>
      <w:r w:rsidRPr="00152F73">
        <w:rPr>
          <w:rFonts w:ascii="Arial" w:hAnsi="Arial" w:cs="Arial"/>
          <w:spacing w:val="-12"/>
          <w:sz w:val="22"/>
          <w:szCs w:val="22"/>
        </w:rPr>
        <w:t xml:space="preserve"> </w:t>
      </w:r>
      <w:r w:rsidRPr="00152F73">
        <w:rPr>
          <w:rFonts w:ascii="Arial" w:hAnsi="Arial" w:cs="Arial"/>
          <w:sz w:val="22"/>
          <w:szCs w:val="22"/>
        </w:rPr>
        <w:t>monitored</w:t>
      </w:r>
      <w:r w:rsidRPr="00152F73">
        <w:rPr>
          <w:rFonts w:ascii="Arial" w:hAnsi="Arial" w:cs="Arial"/>
          <w:spacing w:val="-12"/>
          <w:sz w:val="22"/>
          <w:szCs w:val="22"/>
        </w:rPr>
        <w:t xml:space="preserve"> </w:t>
      </w:r>
      <w:r w:rsidRPr="00152F73">
        <w:rPr>
          <w:rFonts w:ascii="Arial" w:hAnsi="Arial" w:cs="Arial"/>
          <w:sz w:val="22"/>
          <w:szCs w:val="22"/>
        </w:rPr>
        <w:t>via</w:t>
      </w:r>
      <w:r w:rsidRPr="00152F73">
        <w:rPr>
          <w:rFonts w:ascii="Arial" w:hAnsi="Arial" w:cs="Arial"/>
          <w:spacing w:val="-12"/>
          <w:sz w:val="22"/>
          <w:szCs w:val="22"/>
        </w:rPr>
        <w:t xml:space="preserve"> </w:t>
      </w:r>
      <w:r w:rsidRPr="00152F73">
        <w:rPr>
          <w:rFonts w:ascii="Arial" w:hAnsi="Arial" w:cs="Arial"/>
          <w:sz w:val="22"/>
          <w:szCs w:val="22"/>
        </w:rPr>
        <w:t>regional</w:t>
      </w:r>
      <w:r w:rsidRPr="00152F73">
        <w:rPr>
          <w:rFonts w:ascii="Arial" w:hAnsi="Arial" w:cs="Arial"/>
          <w:spacing w:val="-11"/>
          <w:sz w:val="22"/>
          <w:szCs w:val="22"/>
        </w:rPr>
        <w:t xml:space="preserve"> </w:t>
      </w:r>
      <w:r w:rsidRPr="00152F73">
        <w:rPr>
          <w:rFonts w:ascii="Arial" w:hAnsi="Arial" w:cs="Arial"/>
          <w:sz w:val="22"/>
          <w:szCs w:val="22"/>
        </w:rPr>
        <w:t>data</w:t>
      </w:r>
      <w:r w:rsidRPr="00152F73">
        <w:rPr>
          <w:rFonts w:ascii="Arial" w:hAnsi="Arial" w:cs="Arial"/>
          <w:spacing w:val="-14"/>
          <w:sz w:val="22"/>
          <w:szCs w:val="22"/>
        </w:rPr>
        <w:t xml:space="preserve"> </w:t>
      </w:r>
      <w:r w:rsidRPr="00152F73">
        <w:rPr>
          <w:rFonts w:ascii="Arial" w:hAnsi="Arial" w:cs="Arial"/>
          <w:sz w:val="22"/>
          <w:szCs w:val="22"/>
        </w:rPr>
        <w:t>collection/audit</w:t>
      </w:r>
      <w:r w:rsidRPr="00152F73">
        <w:rPr>
          <w:rFonts w:ascii="Arial" w:hAnsi="Arial" w:cs="Arial"/>
          <w:spacing w:val="-11"/>
          <w:sz w:val="22"/>
          <w:szCs w:val="22"/>
        </w:rPr>
        <w:t xml:space="preserve"> </w:t>
      </w:r>
      <w:r w:rsidRPr="00152F73">
        <w:rPr>
          <w:rFonts w:ascii="Arial" w:hAnsi="Arial" w:cs="Arial"/>
          <w:sz w:val="22"/>
          <w:szCs w:val="22"/>
        </w:rPr>
        <w:t>by</w:t>
      </w:r>
      <w:r w:rsidRPr="00152F73">
        <w:rPr>
          <w:rFonts w:ascii="Arial" w:hAnsi="Arial" w:cs="Arial"/>
          <w:spacing w:val="-12"/>
          <w:sz w:val="22"/>
          <w:szCs w:val="22"/>
        </w:rPr>
        <w:t xml:space="preserve"> </w:t>
      </w:r>
      <w:r w:rsidRPr="00152F73">
        <w:rPr>
          <w:rFonts w:ascii="Arial" w:hAnsi="Arial" w:cs="Arial"/>
          <w:sz w:val="22"/>
          <w:szCs w:val="22"/>
        </w:rPr>
        <w:t>SPAGG.</w:t>
      </w:r>
      <w:r w:rsidRPr="00152F73">
        <w:rPr>
          <w:rFonts w:ascii="Arial" w:hAnsi="Arial" w:cs="Arial"/>
          <w:spacing w:val="-9"/>
          <w:sz w:val="22"/>
          <w:szCs w:val="22"/>
        </w:rPr>
        <w:t xml:space="preserve"> </w:t>
      </w:r>
      <w:r w:rsidRPr="00152F73">
        <w:rPr>
          <w:rFonts w:ascii="Arial" w:hAnsi="Arial" w:cs="Arial"/>
          <w:sz w:val="22"/>
          <w:szCs w:val="22"/>
        </w:rPr>
        <w:t>Audit</w:t>
      </w:r>
      <w:r w:rsidRPr="00152F73">
        <w:rPr>
          <w:rFonts w:ascii="Arial" w:hAnsi="Arial" w:cs="Arial"/>
          <w:spacing w:val="-12"/>
          <w:sz w:val="22"/>
          <w:szCs w:val="22"/>
        </w:rPr>
        <w:t xml:space="preserve"> </w:t>
      </w:r>
      <w:r w:rsidRPr="00152F73">
        <w:rPr>
          <w:rFonts w:ascii="Arial" w:hAnsi="Arial" w:cs="Arial"/>
          <w:sz w:val="22"/>
          <w:szCs w:val="22"/>
        </w:rPr>
        <w:t>data</w:t>
      </w:r>
      <w:r w:rsidRPr="00152F73">
        <w:rPr>
          <w:rFonts w:ascii="Arial" w:hAnsi="Arial" w:cs="Arial"/>
          <w:spacing w:val="-13"/>
          <w:sz w:val="22"/>
          <w:szCs w:val="22"/>
        </w:rPr>
        <w:t xml:space="preserve"> </w:t>
      </w:r>
      <w:r w:rsidRPr="00152F73">
        <w:rPr>
          <w:rFonts w:ascii="Arial" w:hAnsi="Arial" w:cs="Arial"/>
          <w:sz w:val="22"/>
          <w:szCs w:val="22"/>
        </w:rPr>
        <w:t>should capture:</w:t>
      </w:r>
    </w:p>
    <w:p w14:paraId="740133C6" w14:textId="77777777" w:rsidR="000976C3" w:rsidRPr="00152F73" w:rsidRDefault="000976C3" w:rsidP="00AB5308">
      <w:pPr>
        <w:tabs>
          <w:tab w:val="left" w:pos="821"/>
        </w:tabs>
        <w:spacing w:before="8" w:line="256" w:lineRule="auto"/>
        <w:ind w:right="1440"/>
        <w:rPr>
          <w:rFonts w:ascii="Arial" w:hAnsi="Arial" w:cs="Arial"/>
        </w:rPr>
      </w:pPr>
    </w:p>
    <w:tbl>
      <w:tblPr>
        <w:tblStyle w:val="TableGrid"/>
        <w:tblW w:w="0" w:type="auto"/>
        <w:tblLook w:val="04A0" w:firstRow="1" w:lastRow="0" w:firstColumn="1" w:lastColumn="0" w:noHBand="0" w:noVBand="1"/>
      </w:tblPr>
      <w:tblGrid>
        <w:gridCol w:w="7185"/>
      </w:tblGrid>
      <w:tr w:rsidR="00152F73" w:rsidRPr="00152F73" w14:paraId="00023FDD" w14:textId="77777777" w:rsidTr="00377A21">
        <w:tc>
          <w:tcPr>
            <w:tcW w:w="7185" w:type="dxa"/>
          </w:tcPr>
          <w:p w14:paraId="544DD9A0" w14:textId="05349D78" w:rsidR="00CC0479" w:rsidRPr="00152F73" w:rsidRDefault="00CC0479" w:rsidP="00D75C96">
            <w:pPr>
              <w:spacing w:before="8" w:line="256" w:lineRule="auto"/>
              <w:ind w:right="1440"/>
              <w:rPr>
                <w:rFonts w:ascii="Arial" w:hAnsi="Arial" w:cs="Arial"/>
              </w:rPr>
            </w:pPr>
            <w:r w:rsidRPr="00152F73">
              <w:rPr>
                <w:rFonts w:ascii="Arial" w:hAnsi="Arial" w:cs="Arial"/>
              </w:rPr>
              <w:t>Setting of Use</w:t>
            </w:r>
          </w:p>
        </w:tc>
      </w:tr>
      <w:tr w:rsidR="00152F73" w:rsidRPr="00152F73" w14:paraId="748BB333" w14:textId="77777777" w:rsidTr="00377A21">
        <w:tc>
          <w:tcPr>
            <w:tcW w:w="7185" w:type="dxa"/>
          </w:tcPr>
          <w:p w14:paraId="7158B5E2" w14:textId="3BA5C04B" w:rsidR="00CC0479" w:rsidRPr="00152F73" w:rsidRDefault="00CC0479" w:rsidP="00D75C96">
            <w:pPr>
              <w:spacing w:before="8" w:line="256" w:lineRule="auto"/>
              <w:ind w:right="1440"/>
              <w:rPr>
                <w:rFonts w:ascii="Arial" w:hAnsi="Arial" w:cs="Arial"/>
              </w:rPr>
            </w:pPr>
            <w:r w:rsidRPr="00152F73">
              <w:rPr>
                <w:rFonts w:ascii="Arial" w:hAnsi="Arial" w:cs="Arial"/>
              </w:rPr>
              <w:t>Patient Info:</w:t>
            </w:r>
          </w:p>
        </w:tc>
      </w:tr>
      <w:tr w:rsidR="00152F73" w:rsidRPr="00152F73" w14:paraId="5F31AC66" w14:textId="77777777" w:rsidTr="00377A21">
        <w:tc>
          <w:tcPr>
            <w:tcW w:w="7185" w:type="dxa"/>
          </w:tcPr>
          <w:p w14:paraId="2E66969A" w14:textId="3D05908B" w:rsidR="00CC0479" w:rsidRPr="00152F73" w:rsidRDefault="00CC0479" w:rsidP="00D75C96">
            <w:pPr>
              <w:spacing w:before="8" w:line="256" w:lineRule="auto"/>
              <w:ind w:right="1440"/>
              <w:rPr>
                <w:rFonts w:ascii="Arial" w:hAnsi="Arial" w:cs="Arial"/>
              </w:rPr>
            </w:pPr>
            <w:r w:rsidRPr="00152F73">
              <w:rPr>
                <w:rFonts w:ascii="Arial" w:hAnsi="Arial" w:cs="Arial"/>
              </w:rPr>
              <w:t>Age</w:t>
            </w:r>
          </w:p>
        </w:tc>
      </w:tr>
      <w:tr w:rsidR="00152F73" w:rsidRPr="00152F73" w14:paraId="329B68E1" w14:textId="77777777" w:rsidTr="00377A21">
        <w:tc>
          <w:tcPr>
            <w:tcW w:w="7185" w:type="dxa"/>
          </w:tcPr>
          <w:p w14:paraId="0FAFBEF7" w14:textId="5385EF58" w:rsidR="00CC0479" w:rsidRPr="00152F73" w:rsidRDefault="00CC0479" w:rsidP="00D75C96">
            <w:pPr>
              <w:spacing w:before="8" w:line="256" w:lineRule="auto"/>
              <w:ind w:right="1440"/>
              <w:rPr>
                <w:rFonts w:ascii="Arial" w:hAnsi="Arial" w:cs="Arial"/>
              </w:rPr>
            </w:pPr>
            <w:r w:rsidRPr="00152F73">
              <w:rPr>
                <w:rFonts w:ascii="Arial" w:hAnsi="Arial" w:cs="Arial"/>
              </w:rPr>
              <w:t>Sex</w:t>
            </w:r>
          </w:p>
        </w:tc>
      </w:tr>
      <w:tr w:rsidR="00152F73" w:rsidRPr="00152F73" w14:paraId="0B4016F8" w14:textId="77777777" w:rsidTr="00377A21">
        <w:tc>
          <w:tcPr>
            <w:tcW w:w="7185" w:type="dxa"/>
          </w:tcPr>
          <w:p w14:paraId="0F1354DC" w14:textId="6D0B47A0" w:rsidR="00CC0479" w:rsidRPr="00152F73" w:rsidRDefault="00CC0479" w:rsidP="00D75C96">
            <w:pPr>
              <w:spacing w:before="8" w:line="256" w:lineRule="auto"/>
              <w:ind w:right="1440"/>
              <w:rPr>
                <w:rFonts w:ascii="Arial" w:hAnsi="Arial" w:cs="Arial"/>
              </w:rPr>
            </w:pPr>
            <w:r w:rsidRPr="00152F73">
              <w:rPr>
                <w:rFonts w:ascii="Arial" w:hAnsi="Arial" w:cs="Arial"/>
              </w:rPr>
              <w:t>Diagnosis</w:t>
            </w:r>
          </w:p>
        </w:tc>
      </w:tr>
      <w:tr w:rsidR="00152F73" w:rsidRPr="00152F73" w14:paraId="0A08EFB3" w14:textId="77777777" w:rsidTr="00377A21">
        <w:tc>
          <w:tcPr>
            <w:tcW w:w="7185" w:type="dxa"/>
          </w:tcPr>
          <w:p w14:paraId="34BDDEDE" w14:textId="326220F1" w:rsidR="00CC0479" w:rsidRPr="00152F73" w:rsidRDefault="00CC0479" w:rsidP="00D75C96">
            <w:pPr>
              <w:spacing w:before="8" w:line="256" w:lineRule="auto"/>
              <w:ind w:right="1440"/>
              <w:rPr>
                <w:rFonts w:ascii="Arial" w:hAnsi="Arial" w:cs="Arial"/>
              </w:rPr>
            </w:pPr>
            <w:r w:rsidRPr="00152F73">
              <w:rPr>
                <w:rFonts w:ascii="Arial" w:hAnsi="Arial" w:cs="Arial"/>
              </w:rPr>
              <w:t>Indication for NSAID</w:t>
            </w:r>
          </w:p>
        </w:tc>
      </w:tr>
      <w:tr w:rsidR="00152F73" w:rsidRPr="00152F73" w14:paraId="4D755CF1" w14:textId="77777777" w:rsidTr="00377A21">
        <w:tc>
          <w:tcPr>
            <w:tcW w:w="7185" w:type="dxa"/>
          </w:tcPr>
          <w:p w14:paraId="13E05E74" w14:textId="28D3F4DE" w:rsidR="00CC0479" w:rsidRPr="00152F73" w:rsidRDefault="00CC0479" w:rsidP="00D75C96">
            <w:pPr>
              <w:spacing w:before="8" w:line="256" w:lineRule="auto"/>
              <w:ind w:right="1440"/>
              <w:rPr>
                <w:rFonts w:ascii="Arial" w:hAnsi="Arial" w:cs="Arial"/>
              </w:rPr>
            </w:pPr>
            <w:r w:rsidRPr="00152F73">
              <w:rPr>
                <w:rFonts w:ascii="Arial" w:hAnsi="Arial" w:cs="Arial"/>
              </w:rPr>
              <w:t>Switched from Oral or Topical NSAID?</w:t>
            </w:r>
          </w:p>
        </w:tc>
      </w:tr>
      <w:tr w:rsidR="00152F73" w:rsidRPr="00152F73" w14:paraId="46D4CD41" w14:textId="77777777" w:rsidTr="00377A21">
        <w:tc>
          <w:tcPr>
            <w:tcW w:w="7185" w:type="dxa"/>
          </w:tcPr>
          <w:p w14:paraId="2A7B7081" w14:textId="1434AAD0" w:rsidR="00CC0479" w:rsidRPr="00152F73" w:rsidRDefault="00CC0479" w:rsidP="00D75C96">
            <w:pPr>
              <w:spacing w:before="8" w:line="256" w:lineRule="auto"/>
              <w:ind w:right="1440"/>
              <w:rPr>
                <w:rFonts w:ascii="Arial" w:hAnsi="Arial" w:cs="Arial"/>
              </w:rPr>
            </w:pPr>
            <w:r w:rsidRPr="00152F73">
              <w:rPr>
                <w:rFonts w:ascii="Arial" w:hAnsi="Arial" w:cs="Arial"/>
              </w:rPr>
              <w:t>Liver impairment?</w:t>
            </w:r>
          </w:p>
        </w:tc>
      </w:tr>
      <w:tr w:rsidR="00152F73" w:rsidRPr="00152F73" w14:paraId="3E74255C" w14:textId="77777777" w:rsidTr="00377A21">
        <w:tc>
          <w:tcPr>
            <w:tcW w:w="7185" w:type="dxa"/>
          </w:tcPr>
          <w:p w14:paraId="6CD32009" w14:textId="13EDD3B4" w:rsidR="00CC0479" w:rsidRPr="00152F73" w:rsidRDefault="00CC0479" w:rsidP="00D75C96">
            <w:pPr>
              <w:spacing w:before="8" w:line="256" w:lineRule="auto"/>
              <w:ind w:right="1440"/>
              <w:rPr>
                <w:rFonts w:ascii="Arial" w:hAnsi="Arial" w:cs="Arial"/>
              </w:rPr>
            </w:pPr>
            <w:r w:rsidRPr="00152F73">
              <w:rPr>
                <w:rFonts w:ascii="Arial" w:hAnsi="Arial" w:cs="Arial"/>
              </w:rPr>
              <w:t>eGFR if known</w:t>
            </w:r>
          </w:p>
        </w:tc>
      </w:tr>
      <w:tr w:rsidR="00152F73" w:rsidRPr="00152F73" w14:paraId="07A4C73C" w14:textId="77777777" w:rsidTr="00377A21">
        <w:tc>
          <w:tcPr>
            <w:tcW w:w="7185" w:type="dxa"/>
          </w:tcPr>
          <w:p w14:paraId="08CA17DC" w14:textId="50868A0F" w:rsidR="00CC0479" w:rsidRPr="00152F73" w:rsidRDefault="005F6BD4" w:rsidP="00D75C96">
            <w:pPr>
              <w:spacing w:before="8" w:line="256" w:lineRule="auto"/>
              <w:ind w:right="1440"/>
              <w:rPr>
                <w:rFonts w:ascii="Arial" w:hAnsi="Arial" w:cs="Arial"/>
              </w:rPr>
            </w:pPr>
            <w:r w:rsidRPr="00152F73">
              <w:rPr>
                <w:rFonts w:ascii="Arial" w:hAnsi="Arial" w:cs="Arial"/>
              </w:rPr>
              <w:t>Dose used and frequency OD/BD/CSCI</w:t>
            </w:r>
          </w:p>
        </w:tc>
      </w:tr>
      <w:tr w:rsidR="00152F73" w:rsidRPr="00152F73" w14:paraId="4308768B" w14:textId="77777777" w:rsidTr="00377A21">
        <w:tc>
          <w:tcPr>
            <w:tcW w:w="7185" w:type="dxa"/>
          </w:tcPr>
          <w:p w14:paraId="577C02A4" w14:textId="6E1C82DE" w:rsidR="00CC0479" w:rsidRPr="00152F73" w:rsidRDefault="005F6BD4" w:rsidP="00D75C96">
            <w:pPr>
              <w:spacing w:before="8" w:line="256" w:lineRule="auto"/>
              <w:ind w:right="1440"/>
              <w:rPr>
                <w:rFonts w:ascii="Arial" w:hAnsi="Arial" w:cs="Arial"/>
              </w:rPr>
            </w:pPr>
            <w:r w:rsidRPr="00152F73">
              <w:rPr>
                <w:rFonts w:ascii="Arial" w:hAnsi="Arial" w:cs="Arial"/>
              </w:rPr>
              <w:t>Duration of use of Parecoxib</w:t>
            </w:r>
          </w:p>
        </w:tc>
      </w:tr>
      <w:tr w:rsidR="00152F73" w:rsidRPr="00152F73" w14:paraId="550DC943" w14:textId="77777777" w:rsidTr="00377A21">
        <w:tc>
          <w:tcPr>
            <w:tcW w:w="7185" w:type="dxa"/>
          </w:tcPr>
          <w:p w14:paraId="2A295836" w14:textId="61A16C6F" w:rsidR="00CC0479" w:rsidRPr="00152F73" w:rsidRDefault="00367695" w:rsidP="00D75C96">
            <w:pPr>
              <w:spacing w:before="8" w:line="256" w:lineRule="auto"/>
              <w:ind w:right="1440"/>
              <w:rPr>
                <w:rFonts w:ascii="Arial" w:hAnsi="Arial" w:cs="Arial"/>
              </w:rPr>
            </w:pPr>
            <w:r w:rsidRPr="00152F73">
              <w:rPr>
                <w:rFonts w:ascii="Arial" w:hAnsi="Arial" w:cs="Arial"/>
              </w:rPr>
              <w:t>MME (mean morphine equivalent</w:t>
            </w:r>
            <w:r w:rsidR="00D47BC7" w:rsidRPr="00152F73">
              <w:rPr>
                <w:rFonts w:ascii="Arial" w:hAnsi="Arial" w:cs="Arial"/>
              </w:rPr>
              <w:t>):-</w:t>
            </w:r>
          </w:p>
        </w:tc>
      </w:tr>
      <w:tr w:rsidR="00152F73" w:rsidRPr="00152F73" w14:paraId="3A985B70" w14:textId="77777777" w:rsidTr="00377A21">
        <w:tc>
          <w:tcPr>
            <w:tcW w:w="7185" w:type="dxa"/>
          </w:tcPr>
          <w:p w14:paraId="0CEEF745" w14:textId="368B45FC" w:rsidR="00CC0479" w:rsidRPr="00152F73" w:rsidRDefault="00D47BC7" w:rsidP="00BB6262">
            <w:pPr>
              <w:pStyle w:val="ListParagraph"/>
              <w:numPr>
                <w:ilvl w:val="0"/>
                <w:numId w:val="10"/>
              </w:numPr>
              <w:spacing w:before="8" w:line="256" w:lineRule="auto"/>
              <w:ind w:right="1440"/>
              <w:rPr>
                <w:rFonts w:ascii="Arial" w:hAnsi="Arial" w:cs="Arial"/>
              </w:rPr>
            </w:pPr>
            <w:r w:rsidRPr="00152F73">
              <w:rPr>
                <w:rFonts w:ascii="Arial" w:hAnsi="Arial" w:cs="Arial"/>
              </w:rPr>
              <w:t>Before Parecoxib</w:t>
            </w:r>
          </w:p>
        </w:tc>
      </w:tr>
      <w:tr w:rsidR="00152F73" w:rsidRPr="00152F73" w14:paraId="2024BF02" w14:textId="77777777" w:rsidTr="00377A21">
        <w:tc>
          <w:tcPr>
            <w:tcW w:w="7185" w:type="dxa"/>
          </w:tcPr>
          <w:p w14:paraId="01F89F9F" w14:textId="3770BF8E" w:rsidR="00CC0479" w:rsidRPr="00152F73" w:rsidRDefault="00D47BC7" w:rsidP="00BB6262">
            <w:pPr>
              <w:pStyle w:val="ListParagraph"/>
              <w:numPr>
                <w:ilvl w:val="0"/>
                <w:numId w:val="10"/>
              </w:numPr>
              <w:spacing w:before="8" w:line="256" w:lineRule="auto"/>
              <w:ind w:right="1440"/>
              <w:rPr>
                <w:rFonts w:ascii="Arial" w:hAnsi="Arial" w:cs="Arial"/>
              </w:rPr>
            </w:pPr>
            <w:r w:rsidRPr="00152F73">
              <w:rPr>
                <w:rFonts w:ascii="Arial" w:hAnsi="Arial" w:cs="Arial"/>
              </w:rPr>
              <w:t>Day 1 of Parecoxib</w:t>
            </w:r>
          </w:p>
        </w:tc>
      </w:tr>
      <w:tr w:rsidR="00152F73" w:rsidRPr="00152F73" w14:paraId="6AB1F8C7" w14:textId="77777777" w:rsidTr="00377A21">
        <w:tc>
          <w:tcPr>
            <w:tcW w:w="7185" w:type="dxa"/>
          </w:tcPr>
          <w:p w14:paraId="3CC061C7" w14:textId="493CD904" w:rsidR="00CC0479" w:rsidRPr="00152F73" w:rsidRDefault="00D47BC7" w:rsidP="00BB6262">
            <w:pPr>
              <w:pStyle w:val="ListParagraph"/>
              <w:numPr>
                <w:ilvl w:val="0"/>
                <w:numId w:val="10"/>
              </w:numPr>
              <w:spacing w:before="8" w:line="256" w:lineRule="auto"/>
              <w:ind w:right="1440"/>
              <w:rPr>
                <w:rFonts w:ascii="Arial" w:hAnsi="Arial" w:cs="Arial"/>
              </w:rPr>
            </w:pPr>
            <w:r w:rsidRPr="00152F73">
              <w:rPr>
                <w:rFonts w:ascii="Arial" w:hAnsi="Arial" w:cs="Arial"/>
              </w:rPr>
              <w:t>Day 3 of Parecoxib</w:t>
            </w:r>
          </w:p>
        </w:tc>
      </w:tr>
      <w:tr w:rsidR="00152F73" w:rsidRPr="00152F73" w14:paraId="261304ED" w14:textId="77777777" w:rsidTr="00377A21">
        <w:tc>
          <w:tcPr>
            <w:tcW w:w="7185" w:type="dxa"/>
          </w:tcPr>
          <w:p w14:paraId="48A1D7C3" w14:textId="0D720E7C" w:rsidR="00CC0479" w:rsidRPr="00152F73" w:rsidRDefault="00D47BC7" w:rsidP="00BB6262">
            <w:pPr>
              <w:pStyle w:val="ListParagraph"/>
              <w:numPr>
                <w:ilvl w:val="0"/>
                <w:numId w:val="10"/>
              </w:numPr>
              <w:spacing w:before="8" w:line="256" w:lineRule="auto"/>
              <w:ind w:right="1440"/>
              <w:rPr>
                <w:rFonts w:ascii="Arial" w:hAnsi="Arial" w:cs="Arial"/>
              </w:rPr>
            </w:pPr>
            <w:r w:rsidRPr="00152F73">
              <w:rPr>
                <w:rFonts w:ascii="Arial" w:hAnsi="Arial" w:cs="Arial"/>
              </w:rPr>
              <w:t>Day 7 of Parecoxib</w:t>
            </w:r>
          </w:p>
        </w:tc>
      </w:tr>
      <w:tr w:rsidR="00152F73" w:rsidRPr="00152F73" w14:paraId="70EBF9F7" w14:textId="77777777" w:rsidTr="00377A21">
        <w:tc>
          <w:tcPr>
            <w:tcW w:w="7185" w:type="dxa"/>
          </w:tcPr>
          <w:p w14:paraId="42B0B564" w14:textId="51E4141A" w:rsidR="00CC0479" w:rsidRPr="00152F73" w:rsidRDefault="00377A21" w:rsidP="00D75C96">
            <w:pPr>
              <w:spacing w:before="8" w:line="256" w:lineRule="auto"/>
              <w:ind w:right="1440"/>
              <w:rPr>
                <w:rFonts w:ascii="Arial" w:hAnsi="Arial" w:cs="Arial"/>
              </w:rPr>
            </w:pPr>
            <w:r w:rsidRPr="00152F73">
              <w:rPr>
                <w:rFonts w:ascii="Arial" w:hAnsi="Arial" w:cs="Arial"/>
              </w:rPr>
              <w:t>Mean pain score:-</w:t>
            </w:r>
          </w:p>
        </w:tc>
      </w:tr>
      <w:tr w:rsidR="00152F73" w:rsidRPr="00152F73" w14:paraId="562BDCB5" w14:textId="77777777" w:rsidTr="00377A21">
        <w:tc>
          <w:tcPr>
            <w:tcW w:w="7185" w:type="dxa"/>
          </w:tcPr>
          <w:p w14:paraId="27E17809" w14:textId="54A80A20" w:rsidR="00377A21" w:rsidRPr="00152F73" w:rsidRDefault="00377A21" w:rsidP="00BB6262">
            <w:pPr>
              <w:pStyle w:val="ListParagraph"/>
              <w:numPr>
                <w:ilvl w:val="0"/>
                <w:numId w:val="11"/>
              </w:numPr>
              <w:spacing w:before="8" w:line="256" w:lineRule="auto"/>
              <w:ind w:right="1440"/>
              <w:rPr>
                <w:rFonts w:ascii="Arial" w:hAnsi="Arial" w:cs="Arial"/>
              </w:rPr>
            </w:pPr>
            <w:r w:rsidRPr="00152F73">
              <w:rPr>
                <w:rFonts w:ascii="Arial" w:hAnsi="Arial" w:cs="Arial"/>
              </w:rPr>
              <w:t>Before Parecoxib</w:t>
            </w:r>
          </w:p>
        </w:tc>
      </w:tr>
      <w:tr w:rsidR="00152F73" w:rsidRPr="00152F73" w14:paraId="613022C2" w14:textId="77777777" w:rsidTr="00377A21">
        <w:tc>
          <w:tcPr>
            <w:tcW w:w="7185" w:type="dxa"/>
          </w:tcPr>
          <w:p w14:paraId="6BBEF7B9" w14:textId="4D995626" w:rsidR="00377A21" w:rsidRPr="00152F73" w:rsidRDefault="00377A21" w:rsidP="00BB6262">
            <w:pPr>
              <w:pStyle w:val="ListParagraph"/>
              <w:numPr>
                <w:ilvl w:val="0"/>
                <w:numId w:val="9"/>
              </w:numPr>
              <w:spacing w:before="8" w:line="256" w:lineRule="auto"/>
              <w:ind w:right="1440"/>
              <w:rPr>
                <w:rFonts w:ascii="Arial" w:hAnsi="Arial" w:cs="Arial"/>
              </w:rPr>
            </w:pPr>
            <w:r w:rsidRPr="00152F73">
              <w:rPr>
                <w:rFonts w:ascii="Arial" w:hAnsi="Arial" w:cs="Arial"/>
              </w:rPr>
              <w:t>Day 1 of Parecoxib</w:t>
            </w:r>
          </w:p>
        </w:tc>
      </w:tr>
      <w:tr w:rsidR="00152F73" w:rsidRPr="00152F73" w14:paraId="63AD6215" w14:textId="77777777" w:rsidTr="00377A21">
        <w:tc>
          <w:tcPr>
            <w:tcW w:w="7185" w:type="dxa"/>
          </w:tcPr>
          <w:p w14:paraId="0EB248A4" w14:textId="0E8AD88F" w:rsidR="00377A21" w:rsidRPr="00152F73" w:rsidRDefault="00377A21" w:rsidP="00BB6262">
            <w:pPr>
              <w:pStyle w:val="ListParagraph"/>
              <w:numPr>
                <w:ilvl w:val="0"/>
                <w:numId w:val="9"/>
              </w:numPr>
              <w:spacing w:before="8" w:line="256" w:lineRule="auto"/>
              <w:ind w:right="1440"/>
              <w:rPr>
                <w:rFonts w:ascii="Arial" w:hAnsi="Arial" w:cs="Arial"/>
              </w:rPr>
            </w:pPr>
            <w:r w:rsidRPr="00152F73">
              <w:rPr>
                <w:rFonts w:ascii="Arial" w:hAnsi="Arial" w:cs="Arial"/>
              </w:rPr>
              <w:t>Day 3 of Parecoxib</w:t>
            </w:r>
          </w:p>
        </w:tc>
      </w:tr>
      <w:tr w:rsidR="00152F73" w:rsidRPr="00152F73" w14:paraId="047AA419" w14:textId="77777777" w:rsidTr="00377A21">
        <w:tc>
          <w:tcPr>
            <w:tcW w:w="7185" w:type="dxa"/>
          </w:tcPr>
          <w:p w14:paraId="0D989979" w14:textId="7FA296E0" w:rsidR="00377A21" w:rsidRPr="00152F73" w:rsidRDefault="00377A21" w:rsidP="00BB6262">
            <w:pPr>
              <w:pStyle w:val="ListParagraph"/>
              <w:numPr>
                <w:ilvl w:val="0"/>
                <w:numId w:val="9"/>
              </w:numPr>
              <w:spacing w:before="8" w:line="256" w:lineRule="auto"/>
              <w:ind w:right="1440"/>
              <w:rPr>
                <w:rFonts w:ascii="Arial" w:hAnsi="Arial" w:cs="Arial"/>
              </w:rPr>
            </w:pPr>
            <w:r w:rsidRPr="00152F73">
              <w:rPr>
                <w:rFonts w:ascii="Arial" w:hAnsi="Arial" w:cs="Arial"/>
              </w:rPr>
              <w:t>Day 7 of Parecoxib</w:t>
            </w:r>
          </w:p>
        </w:tc>
      </w:tr>
      <w:tr w:rsidR="00152F73" w:rsidRPr="00152F73" w14:paraId="4BE6292C" w14:textId="77777777" w:rsidTr="00377A21">
        <w:tc>
          <w:tcPr>
            <w:tcW w:w="7185" w:type="dxa"/>
          </w:tcPr>
          <w:p w14:paraId="6FF5FAF1" w14:textId="626DFD59" w:rsidR="00CC0479" w:rsidRPr="00152F73" w:rsidRDefault="00F67507" w:rsidP="00D75C96">
            <w:pPr>
              <w:spacing w:before="8" w:line="256" w:lineRule="auto"/>
              <w:ind w:right="1440"/>
              <w:rPr>
                <w:rFonts w:ascii="Arial" w:hAnsi="Arial" w:cs="Arial"/>
              </w:rPr>
            </w:pPr>
            <w:r w:rsidRPr="00152F73">
              <w:rPr>
                <w:rFonts w:ascii="Arial" w:hAnsi="Arial" w:cs="Arial"/>
              </w:rPr>
              <w:t>PRN analgesia frequency:-</w:t>
            </w:r>
          </w:p>
        </w:tc>
      </w:tr>
      <w:tr w:rsidR="00152F73" w:rsidRPr="00152F73" w14:paraId="2284D919" w14:textId="77777777" w:rsidTr="00377A21">
        <w:tc>
          <w:tcPr>
            <w:tcW w:w="7185" w:type="dxa"/>
          </w:tcPr>
          <w:p w14:paraId="57C664D5" w14:textId="2848FE89" w:rsidR="00F67507" w:rsidRPr="00152F73" w:rsidRDefault="00F67507" w:rsidP="00F67507">
            <w:pPr>
              <w:pStyle w:val="ListParagraph"/>
              <w:numPr>
                <w:ilvl w:val="0"/>
                <w:numId w:val="12"/>
              </w:numPr>
              <w:spacing w:before="8" w:line="256" w:lineRule="auto"/>
              <w:ind w:right="1440"/>
              <w:rPr>
                <w:rFonts w:ascii="Arial" w:hAnsi="Arial" w:cs="Arial"/>
              </w:rPr>
            </w:pPr>
            <w:r w:rsidRPr="00152F73">
              <w:rPr>
                <w:rFonts w:ascii="Arial" w:hAnsi="Arial" w:cs="Arial"/>
              </w:rPr>
              <w:t>Before Parecoxib</w:t>
            </w:r>
          </w:p>
        </w:tc>
      </w:tr>
      <w:tr w:rsidR="00152F73" w:rsidRPr="00152F73" w14:paraId="72BFF547" w14:textId="77777777" w:rsidTr="00377A21">
        <w:tc>
          <w:tcPr>
            <w:tcW w:w="7185" w:type="dxa"/>
          </w:tcPr>
          <w:p w14:paraId="4BB4D0ED" w14:textId="13598EBC" w:rsidR="00F67507" w:rsidRPr="00152F73" w:rsidRDefault="00F67507" w:rsidP="00F67507">
            <w:pPr>
              <w:pStyle w:val="ListParagraph"/>
              <w:numPr>
                <w:ilvl w:val="0"/>
                <w:numId w:val="12"/>
              </w:numPr>
              <w:spacing w:before="8" w:line="256" w:lineRule="auto"/>
              <w:ind w:right="1440"/>
              <w:rPr>
                <w:rFonts w:ascii="Arial" w:hAnsi="Arial" w:cs="Arial"/>
              </w:rPr>
            </w:pPr>
            <w:r w:rsidRPr="00152F73">
              <w:rPr>
                <w:rFonts w:ascii="Arial" w:hAnsi="Arial" w:cs="Arial"/>
              </w:rPr>
              <w:t>Day 1 of Parecoxib</w:t>
            </w:r>
          </w:p>
        </w:tc>
      </w:tr>
      <w:tr w:rsidR="00152F73" w:rsidRPr="00152F73" w14:paraId="25D71529" w14:textId="77777777" w:rsidTr="00377A21">
        <w:tc>
          <w:tcPr>
            <w:tcW w:w="7185" w:type="dxa"/>
          </w:tcPr>
          <w:p w14:paraId="0E35179A" w14:textId="6DC58847" w:rsidR="00F67507" w:rsidRPr="00152F73" w:rsidRDefault="00F67507" w:rsidP="00F67507">
            <w:pPr>
              <w:pStyle w:val="ListParagraph"/>
              <w:numPr>
                <w:ilvl w:val="0"/>
                <w:numId w:val="12"/>
              </w:numPr>
              <w:spacing w:before="8" w:line="256" w:lineRule="auto"/>
              <w:ind w:right="1440"/>
              <w:rPr>
                <w:rFonts w:ascii="Arial" w:hAnsi="Arial" w:cs="Arial"/>
              </w:rPr>
            </w:pPr>
            <w:r w:rsidRPr="00152F73">
              <w:rPr>
                <w:rFonts w:ascii="Arial" w:hAnsi="Arial" w:cs="Arial"/>
              </w:rPr>
              <w:t>Day 3 of Parecoxib</w:t>
            </w:r>
          </w:p>
        </w:tc>
      </w:tr>
      <w:tr w:rsidR="00152F73" w:rsidRPr="00152F73" w14:paraId="00F16855" w14:textId="77777777" w:rsidTr="00377A21">
        <w:tc>
          <w:tcPr>
            <w:tcW w:w="7185" w:type="dxa"/>
          </w:tcPr>
          <w:p w14:paraId="16B03517" w14:textId="4E09FEA8" w:rsidR="00F67507" w:rsidRPr="00152F73" w:rsidRDefault="00F67507" w:rsidP="00F67507">
            <w:pPr>
              <w:pStyle w:val="ListParagraph"/>
              <w:numPr>
                <w:ilvl w:val="0"/>
                <w:numId w:val="12"/>
              </w:numPr>
              <w:spacing w:before="8" w:line="256" w:lineRule="auto"/>
              <w:ind w:right="1440"/>
              <w:rPr>
                <w:rFonts w:ascii="Arial" w:hAnsi="Arial" w:cs="Arial"/>
              </w:rPr>
            </w:pPr>
            <w:r w:rsidRPr="00152F73">
              <w:rPr>
                <w:rFonts w:ascii="Arial" w:hAnsi="Arial" w:cs="Arial"/>
              </w:rPr>
              <w:t>Day 7 of Parecoxib</w:t>
            </w:r>
          </w:p>
        </w:tc>
      </w:tr>
      <w:tr w:rsidR="00152F73" w:rsidRPr="00152F73" w14:paraId="40DA29D9" w14:textId="77777777" w:rsidTr="00377A21">
        <w:tc>
          <w:tcPr>
            <w:tcW w:w="7185" w:type="dxa"/>
          </w:tcPr>
          <w:p w14:paraId="5D895BA3" w14:textId="3D5D3F2C" w:rsidR="00CC0479" w:rsidRPr="00152F73" w:rsidRDefault="00F67507" w:rsidP="00D75C96">
            <w:pPr>
              <w:spacing w:before="8" w:line="256" w:lineRule="auto"/>
              <w:ind w:right="1440"/>
              <w:rPr>
                <w:rFonts w:ascii="Arial" w:hAnsi="Arial" w:cs="Arial"/>
              </w:rPr>
            </w:pPr>
            <w:r w:rsidRPr="00152F73">
              <w:rPr>
                <w:rFonts w:ascii="Arial" w:hAnsi="Arial" w:cs="Arial"/>
              </w:rPr>
              <w:t>Was gastroprotection co-prescribed</w:t>
            </w:r>
          </w:p>
        </w:tc>
      </w:tr>
      <w:tr w:rsidR="00152F73" w:rsidRPr="00152F73" w14:paraId="33976CAC" w14:textId="77777777" w:rsidTr="00377A21">
        <w:tc>
          <w:tcPr>
            <w:tcW w:w="7185" w:type="dxa"/>
          </w:tcPr>
          <w:p w14:paraId="1F1995E0" w14:textId="2D39ADB5" w:rsidR="006B587B" w:rsidRPr="00152F73" w:rsidRDefault="006B587B" w:rsidP="00D75C96">
            <w:pPr>
              <w:spacing w:before="8" w:line="256" w:lineRule="auto"/>
              <w:ind w:right="1440"/>
              <w:rPr>
                <w:rFonts w:ascii="Arial" w:hAnsi="Arial" w:cs="Arial"/>
              </w:rPr>
            </w:pPr>
            <w:r w:rsidRPr="00152F73">
              <w:rPr>
                <w:rFonts w:ascii="Arial" w:hAnsi="Arial" w:cs="Arial"/>
              </w:rPr>
              <w:t>Adverse effects reported:-</w:t>
            </w:r>
          </w:p>
        </w:tc>
      </w:tr>
      <w:tr w:rsidR="00152F73" w:rsidRPr="00152F73" w14:paraId="76830B4F" w14:textId="77777777" w:rsidTr="00377A21">
        <w:tc>
          <w:tcPr>
            <w:tcW w:w="7185" w:type="dxa"/>
          </w:tcPr>
          <w:p w14:paraId="10931B17" w14:textId="314FA945" w:rsidR="006B587B" w:rsidRPr="00152F73" w:rsidRDefault="005F6301" w:rsidP="00D75C96">
            <w:pPr>
              <w:spacing w:before="8" w:line="256" w:lineRule="auto"/>
              <w:ind w:right="1440"/>
              <w:rPr>
                <w:rFonts w:ascii="Arial" w:hAnsi="Arial" w:cs="Arial"/>
              </w:rPr>
            </w:pPr>
            <w:r w:rsidRPr="00152F73">
              <w:rPr>
                <w:rFonts w:ascii="Arial" w:hAnsi="Arial" w:cs="Arial"/>
              </w:rPr>
              <w:t>Site irritation</w:t>
            </w:r>
          </w:p>
        </w:tc>
      </w:tr>
      <w:tr w:rsidR="00152F73" w:rsidRPr="00152F73" w14:paraId="1B052856" w14:textId="77777777" w:rsidTr="00377A21">
        <w:tc>
          <w:tcPr>
            <w:tcW w:w="7185" w:type="dxa"/>
          </w:tcPr>
          <w:p w14:paraId="1FD72077" w14:textId="2F596AA0" w:rsidR="006B587B" w:rsidRPr="00152F73" w:rsidRDefault="005F6301" w:rsidP="00D75C96">
            <w:pPr>
              <w:spacing w:before="8" w:line="256" w:lineRule="auto"/>
              <w:ind w:right="1440"/>
              <w:rPr>
                <w:rFonts w:ascii="Arial" w:hAnsi="Arial" w:cs="Arial"/>
              </w:rPr>
            </w:pPr>
            <w:r w:rsidRPr="00152F73">
              <w:rPr>
                <w:rFonts w:ascii="Arial" w:hAnsi="Arial" w:cs="Arial"/>
              </w:rPr>
              <w:t xml:space="preserve">GI effects e.g. </w:t>
            </w:r>
            <w:r w:rsidR="00446F99" w:rsidRPr="00152F73">
              <w:rPr>
                <w:rFonts w:ascii="Arial" w:hAnsi="Arial" w:cs="Arial"/>
              </w:rPr>
              <w:t>nausea, heartburn</w:t>
            </w:r>
          </w:p>
        </w:tc>
      </w:tr>
      <w:tr w:rsidR="00152F73" w:rsidRPr="00152F73" w14:paraId="5DC5DE1F" w14:textId="77777777" w:rsidTr="00377A21">
        <w:tc>
          <w:tcPr>
            <w:tcW w:w="7185" w:type="dxa"/>
          </w:tcPr>
          <w:p w14:paraId="1C9A1289" w14:textId="2E08F8A1" w:rsidR="006B587B" w:rsidRPr="00152F73" w:rsidRDefault="005F6301" w:rsidP="00D75C96">
            <w:pPr>
              <w:spacing w:before="8" w:line="256" w:lineRule="auto"/>
              <w:ind w:right="1440"/>
              <w:rPr>
                <w:rFonts w:ascii="Arial" w:hAnsi="Arial" w:cs="Arial"/>
              </w:rPr>
            </w:pPr>
            <w:r w:rsidRPr="00152F73">
              <w:rPr>
                <w:rFonts w:ascii="Arial" w:hAnsi="Arial" w:cs="Arial"/>
              </w:rPr>
              <w:t>GI bleed</w:t>
            </w:r>
          </w:p>
        </w:tc>
      </w:tr>
      <w:tr w:rsidR="00152F73" w:rsidRPr="00152F73" w14:paraId="6006E339" w14:textId="77777777" w:rsidTr="00377A21">
        <w:tc>
          <w:tcPr>
            <w:tcW w:w="7185" w:type="dxa"/>
          </w:tcPr>
          <w:p w14:paraId="0C6028B8" w14:textId="36E23F4E" w:rsidR="005F6301" w:rsidRPr="00152F73" w:rsidRDefault="005F6301" w:rsidP="00D75C96">
            <w:pPr>
              <w:spacing w:before="8" w:line="256" w:lineRule="auto"/>
              <w:ind w:right="1440"/>
              <w:rPr>
                <w:rFonts w:ascii="Arial" w:hAnsi="Arial" w:cs="Arial"/>
              </w:rPr>
            </w:pPr>
            <w:r w:rsidRPr="00152F73">
              <w:rPr>
                <w:rFonts w:ascii="Arial" w:hAnsi="Arial" w:cs="Arial"/>
              </w:rPr>
              <w:t>Reduced renal function</w:t>
            </w:r>
          </w:p>
        </w:tc>
      </w:tr>
      <w:tr w:rsidR="005F6301" w:rsidRPr="00152F73" w14:paraId="4942AF11" w14:textId="77777777" w:rsidTr="00377A21">
        <w:tc>
          <w:tcPr>
            <w:tcW w:w="7185" w:type="dxa"/>
          </w:tcPr>
          <w:p w14:paraId="3E15113A" w14:textId="799F1E3F" w:rsidR="005F6301" w:rsidRPr="00152F73" w:rsidRDefault="005F6301" w:rsidP="00D75C96">
            <w:pPr>
              <w:spacing w:before="8" w:line="256" w:lineRule="auto"/>
              <w:ind w:right="1440"/>
              <w:rPr>
                <w:rFonts w:ascii="Arial" w:hAnsi="Arial" w:cs="Arial"/>
              </w:rPr>
            </w:pPr>
            <w:r w:rsidRPr="00152F73">
              <w:rPr>
                <w:rFonts w:ascii="Arial" w:hAnsi="Arial" w:cs="Arial"/>
              </w:rPr>
              <w:t>Other</w:t>
            </w:r>
          </w:p>
        </w:tc>
      </w:tr>
    </w:tbl>
    <w:p w14:paraId="477A9E78" w14:textId="77777777" w:rsidR="00D75C96" w:rsidRPr="00152F73" w:rsidRDefault="00D75C96" w:rsidP="00D75C96">
      <w:pPr>
        <w:spacing w:before="8" w:line="256" w:lineRule="auto"/>
        <w:ind w:right="1440"/>
        <w:rPr>
          <w:rFonts w:ascii="Arial" w:hAnsi="Arial" w:cs="Arial"/>
        </w:rPr>
      </w:pPr>
    </w:p>
    <w:p w14:paraId="5E5651EE" w14:textId="77777777" w:rsidR="000976C3" w:rsidRPr="00152F73" w:rsidRDefault="000976C3" w:rsidP="00AB5308">
      <w:pPr>
        <w:pStyle w:val="Heading2"/>
        <w:spacing w:before="179" w:line="256" w:lineRule="auto"/>
        <w:ind w:right="6707"/>
        <w:rPr>
          <w:rFonts w:ascii="Arial" w:hAnsi="Arial" w:cs="Arial"/>
        </w:rPr>
      </w:pPr>
    </w:p>
    <w:p w14:paraId="6D7ABF42" w14:textId="77777777" w:rsidR="000976C3" w:rsidRPr="00152F73" w:rsidRDefault="000976C3" w:rsidP="00AB5308">
      <w:pPr>
        <w:pStyle w:val="Heading2"/>
        <w:spacing w:before="179" w:line="256" w:lineRule="auto"/>
        <w:ind w:right="6707"/>
        <w:rPr>
          <w:rFonts w:ascii="Arial" w:hAnsi="Arial" w:cs="Arial"/>
        </w:rPr>
      </w:pPr>
    </w:p>
    <w:p w14:paraId="33A85A02" w14:textId="77777777" w:rsidR="000976C3" w:rsidRPr="00152F73" w:rsidRDefault="000976C3" w:rsidP="00446F99">
      <w:pPr>
        <w:ind w:right="9436"/>
        <w:rPr>
          <w:rFonts w:ascii="Arial" w:hAnsi="Arial" w:cs="Arial"/>
          <w:spacing w:val="-1"/>
        </w:rPr>
      </w:pPr>
    </w:p>
    <w:p w14:paraId="16E73B4B" w14:textId="77777777" w:rsidR="00446F99" w:rsidRDefault="00446F99" w:rsidP="00446F99">
      <w:pPr>
        <w:ind w:right="9436"/>
        <w:rPr>
          <w:rFonts w:ascii="Arial" w:hAnsi="Arial" w:cs="Arial"/>
          <w:spacing w:val="-1"/>
        </w:rPr>
      </w:pPr>
    </w:p>
    <w:p w14:paraId="01C33E05" w14:textId="77777777" w:rsidR="00152F73" w:rsidRDefault="00152F73" w:rsidP="00446F99">
      <w:pPr>
        <w:ind w:right="9436"/>
        <w:rPr>
          <w:rFonts w:ascii="Arial" w:hAnsi="Arial" w:cs="Arial"/>
          <w:spacing w:val="-1"/>
        </w:rPr>
      </w:pPr>
    </w:p>
    <w:p w14:paraId="3A2EF266" w14:textId="77777777" w:rsidR="00152F73" w:rsidRDefault="00152F73" w:rsidP="00446F99">
      <w:pPr>
        <w:ind w:right="9436"/>
        <w:rPr>
          <w:rFonts w:ascii="Arial" w:hAnsi="Arial" w:cs="Arial"/>
          <w:spacing w:val="-1"/>
        </w:rPr>
      </w:pPr>
    </w:p>
    <w:p w14:paraId="36160FD2" w14:textId="77777777" w:rsidR="00152F73" w:rsidRPr="00152F73" w:rsidRDefault="00152F73" w:rsidP="00446F99">
      <w:pPr>
        <w:ind w:right="9436"/>
        <w:rPr>
          <w:rFonts w:ascii="Arial" w:hAnsi="Arial" w:cs="Arial"/>
          <w:spacing w:val="-1"/>
        </w:rPr>
      </w:pPr>
    </w:p>
    <w:p w14:paraId="0653E45C" w14:textId="66F3D7BD" w:rsidR="00AB5308" w:rsidRPr="00152F73" w:rsidRDefault="00AB5308" w:rsidP="000976C3">
      <w:pPr>
        <w:ind w:right="931"/>
        <w:rPr>
          <w:rFonts w:ascii="Arial" w:hAnsi="Arial" w:cs="Arial"/>
          <w:b/>
          <w:bCs/>
        </w:rPr>
      </w:pPr>
      <w:r w:rsidRPr="00152F73">
        <w:rPr>
          <w:rFonts w:ascii="Arial" w:hAnsi="Arial" w:cs="Arial"/>
          <w:b/>
          <w:bCs/>
          <w:spacing w:val="-1"/>
        </w:rPr>
        <w:lastRenderedPageBreak/>
        <w:t>Reference</w:t>
      </w:r>
      <w:r w:rsidR="000976C3" w:rsidRPr="00152F73">
        <w:rPr>
          <w:rFonts w:ascii="Arial" w:hAnsi="Arial" w:cs="Arial"/>
          <w:b/>
          <w:bCs/>
          <w:spacing w:val="-1"/>
        </w:rPr>
        <w:t>s</w:t>
      </w:r>
      <w:r w:rsidRPr="00152F73">
        <w:rPr>
          <w:rFonts w:ascii="Arial" w:hAnsi="Arial" w:cs="Arial"/>
          <w:b/>
          <w:bCs/>
          <w:spacing w:val="-1"/>
        </w:rPr>
        <w:t xml:space="preserve"> </w:t>
      </w:r>
    </w:p>
    <w:p w14:paraId="5B6C5997" w14:textId="77777777" w:rsidR="00AB5308" w:rsidRPr="00152F73" w:rsidRDefault="00AB5308" w:rsidP="00AB5308">
      <w:pPr>
        <w:pStyle w:val="BodyText"/>
        <w:spacing w:before="178"/>
        <w:ind w:left="100"/>
        <w:rPr>
          <w:rFonts w:ascii="Arial" w:hAnsi="Arial" w:cs="Arial"/>
          <w:sz w:val="22"/>
          <w:szCs w:val="22"/>
        </w:rPr>
      </w:pPr>
      <w:r w:rsidRPr="00152F73">
        <w:rPr>
          <w:rFonts w:ascii="Arial" w:hAnsi="Arial" w:cs="Arial"/>
          <w:sz w:val="22"/>
          <w:szCs w:val="22"/>
        </w:rPr>
        <w:t>1. Wilcock A, Howard, P &amp; Charlesworth, S. Palliative Care Formulary (8th edition). Pharmaceutical Press, 2022.</w:t>
      </w:r>
    </w:p>
    <w:p w14:paraId="66B5CA39" w14:textId="77777777" w:rsidR="00AB5308" w:rsidRPr="00152F73" w:rsidRDefault="00AB5308" w:rsidP="00AB5308">
      <w:pPr>
        <w:pStyle w:val="BodyText"/>
        <w:spacing w:before="181" w:line="256" w:lineRule="auto"/>
        <w:ind w:left="100"/>
        <w:rPr>
          <w:rFonts w:ascii="Arial" w:hAnsi="Arial" w:cs="Arial"/>
          <w:sz w:val="22"/>
          <w:szCs w:val="22"/>
        </w:rPr>
      </w:pPr>
      <w:r w:rsidRPr="00152F73">
        <w:rPr>
          <w:rFonts w:ascii="Arial" w:hAnsi="Arial" w:cs="Arial"/>
          <w:sz w:val="22"/>
          <w:szCs w:val="22"/>
        </w:rPr>
        <w:t>2.</w:t>
      </w:r>
      <w:r w:rsidRPr="00152F73">
        <w:rPr>
          <w:rFonts w:ascii="Arial" w:hAnsi="Arial" w:cs="Arial"/>
          <w:spacing w:val="-27"/>
          <w:sz w:val="22"/>
          <w:szCs w:val="22"/>
        </w:rPr>
        <w:t xml:space="preserve"> </w:t>
      </w:r>
      <w:r w:rsidRPr="00152F73">
        <w:rPr>
          <w:rFonts w:ascii="Arial" w:hAnsi="Arial" w:cs="Arial"/>
          <w:sz w:val="22"/>
          <w:szCs w:val="22"/>
        </w:rPr>
        <w:t>National</w:t>
      </w:r>
      <w:r w:rsidRPr="00152F73">
        <w:rPr>
          <w:rFonts w:ascii="Arial" w:hAnsi="Arial" w:cs="Arial"/>
          <w:spacing w:val="-13"/>
          <w:sz w:val="22"/>
          <w:szCs w:val="22"/>
        </w:rPr>
        <w:t xml:space="preserve"> </w:t>
      </w:r>
      <w:r w:rsidRPr="00152F73">
        <w:rPr>
          <w:rFonts w:ascii="Arial" w:hAnsi="Arial" w:cs="Arial"/>
          <w:sz w:val="22"/>
          <w:szCs w:val="22"/>
        </w:rPr>
        <w:t>Institute</w:t>
      </w:r>
      <w:r w:rsidRPr="00152F73">
        <w:rPr>
          <w:rFonts w:ascii="Arial" w:hAnsi="Arial" w:cs="Arial"/>
          <w:spacing w:val="-13"/>
          <w:sz w:val="22"/>
          <w:szCs w:val="22"/>
        </w:rPr>
        <w:t xml:space="preserve"> </w:t>
      </w:r>
      <w:r w:rsidRPr="00152F73">
        <w:rPr>
          <w:rFonts w:ascii="Arial" w:hAnsi="Arial" w:cs="Arial"/>
          <w:sz w:val="22"/>
          <w:szCs w:val="22"/>
        </w:rPr>
        <w:t>for</w:t>
      </w:r>
      <w:r w:rsidRPr="00152F73">
        <w:rPr>
          <w:rFonts w:ascii="Arial" w:hAnsi="Arial" w:cs="Arial"/>
          <w:spacing w:val="-13"/>
          <w:sz w:val="22"/>
          <w:szCs w:val="22"/>
        </w:rPr>
        <w:t xml:space="preserve"> </w:t>
      </w:r>
      <w:r w:rsidRPr="00152F73">
        <w:rPr>
          <w:rFonts w:ascii="Arial" w:hAnsi="Arial" w:cs="Arial"/>
          <w:sz w:val="22"/>
          <w:szCs w:val="22"/>
        </w:rPr>
        <w:t>Health</w:t>
      </w:r>
      <w:r w:rsidRPr="00152F73">
        <w:rPr>
          <w:rFonts w:ascii="Arial" w:hAnsi="Arial" w:cs="Arial"/>
          <w:spacing w:val="-12"/>
          <w:sz w:val="22"/>
          <w:szCs w:val="22"/>
        </w:rPr>
        <w:t xml:space="preserve"> </w:t>
      </w:r>
      <w:r w:rsidRPr="00152F73">
        <w:rPr>
          <w:rFonts w:ascii="Arial" w:hAnsi="Arial" w:cs="Arial"/>
          <w:sz w:val="22"/>
          <w:szCs w:val="22"/>
        </w:rPr>
        <w:t>and</w:t>
      </w:r>
      <w:r w:rsidRPr="00152F73">
        <w:rPr>
          <w:rFonts w:ascii="Arial" w:hAnsi="Arial" w:cs="Arial"/>
          <w:spacing w:val="-12"/>
          <w:sz w:val="22"/>
          <w:szCs w:val="22"/>
        </w:rPr>
        <w:t xml:space="preserve"> </w:t>
      </w:r>
      <w:r w:rsidRPr="00152F73">
        <w:rPr>
          <w:rFonts w:ascii="Arial" w:hAnsi="Arial" w:cs="Arial"/>
          <w:sz w:val="22"/>
          <w:szCs w:val="22"/>
        </w:rPr>
        <w:t>Care</w:t>
      </w:r>
      <w:r w:rsidRPr="00152F73">
        <w:rPr>
          <w:rFonts w:ascii="Arial" w:hAnsi="Arial" w:cs="Arial"/>
          <w:spacing w:val="-13"/>
          <w:sz w:val="22"/>
          <w:szCs w:val="22"/>
        </w:rPr>
        <w:t xml:space="preserve"> </w:t>
      </w:r>
      <w:r w:rsidRPr="00152F73">
        <w:rPr>
          <w:rFonts w:ascii="Arial" w:hAnsi="Arial" w:cs="Arial"/>
          <w:sz w:val="22"/>
          <w:szCs w:val="22"/>
        </w:rPr>
        <w:t>Excellence.</w:t>
      </w:r>
      <w:r w:rsidRPr="00152F73">
        <w:rPr>
          <w:rFonts w:ascii="Arial" w:hAnsi="Arial" w:cs="Arial"/>
          <w:spacing w:val="-14"/>
          <w:sz w:val="22"/>
          <w:szCs w:val="22"/>
        </w:rPr>
        <w:t xml:space="preserve"> </w:t>
      </w:r>
      <w:r w:rsidRPr="00152F73">
        <w:rPr>
          <w:rFonts w:ascii="Arial" w:hAnsi="Arial" w:cs="Arial"/>
          <w:sz w:val="22"/>
          <w:szCs w:val="22"/>
        </w:rPr>
        <w:t>Parecoxib</w:t>
      </w:r>
      <w:r w:rsidRPr="00152F73">
        <w:rPr>
          <w:rFonts w:ascii="Arial" w:hAnsi="Arial" w:cs="Arial"/>
          <w:spacing w:val="-12"/>
          <w:sz w:val="22"/>
          <w:szCs w:val="22"/>
        </w:rPr>
        <w:t xml:space="preserve"> </w:t>
      </w:r>
      <w:r w:rsidRPr="00152F73">
        <w:rPr>
          <w:rFonts w:ascii="Arial" w:hAnsi="Arial" w:cs="Arial"/>
          <w:sz w:val="22"/>
          <w:szCs w:val="22"/>
        </w:rPr>
        <w:t>(Internet).</w:t>
      </w:r>
      <w:r w:rsidRPr="00152F73">
        <w:rPr>
          <w:rFonts w:ascii="Arial" w:hAnsi="Arial" w:cs="Arial"/>
          <w:spacing w:val="-12"/>
          <w:sz w:val="22"/>
          <w:szCs w:val="22"/>
        </w:rPr>
        <w:t xml:space="preserve"> </w:t>
      </w:r>
      <w:r w:rsidRPr="00152F73">
        <w:rPr>
          <w:rFonts w:ascii="Arial" w:hAnsi="Arial" w:cs="Arial"/>
          <w:sz w:val="22"/>
          <w:szCs w:val="22"/>
        </w:rPr>
        <w:t>NICE</w:t>
      </w:r>
      <w:r w:rsidRPr="00152F73">
        <w:rPr>
          <w:rFonts w:ascii="Arial" w:hAnsi="Arial" w:cs="Arial"/>
          <w:spacing w:val="-12"/>
          <w:sz w:val="22"/>
          <w:szCs w:val="22"/>
        </w:rPr>
        <w:t xml:space="preserve"> </w:t>
      </w:r>
      <w:r w:rsidRPr="00152F73">
        <w:rPr>
          <w:rFonts w:ascii="Arial" w:hAnsi="Arial" w:cs="Arial"/>
          <w:sz w:val="22"/>
          <w:szCs w:val="22"/>
        </w:rPr>
        <w:t>2021.</w:t>
      </w:r>
      <w:r w:rsidRPr="00152F73">
        <w:rPr>
          <w:rFonts w:ascii="Arial" w:hAnsi="Arial" w:cs="Arial"/>
          <w:spacing w:val="-13"/>
          <w:sz w:val="22"/>
          <w:szCs w:val="22"/>
        </w:rPr>
        <w:t xml:space="preserve"> </w:t>
      </w:r>
      <w:r w:rsidRPr="00152F73">
        <w:rPr>
          <w:rFonts w:ascii="Arial" w:hAnsi="Arial" w:cs="Arial"/>
          <w:sz w:val="22"/>
          <w:szCs w:val="22"/>
        </w:rPr>
        <w:t>(Cited</w:t>
      </w:r>
      <w:r w:rsidRPr="00152F73">
        <w:rPr>
          <w:rFonts w:ascii="Arial" w:hAnsi="Arial" w:cs="Arial"/>
          <w:spacing w:val="-13"/>
          <w:sz w:val="22"/>
          <w:szCs w:val="22"/>
        </w:rPr>
        <w:t xml:space="preserve"> </w:t>
      </w:r>
      <w:r w:rsidRPr="00152F73">
        <w:rPr>
          <w:rFonts w:ascii="Arial" w:hAnsi="Arial" w:cs="Arial"/>
          <w:sz w:val="22"/>
          <w:szCs w:val="22"/>
        </w:rPr>
        <w:t>12</w:t>
      </w:r>
      <w:r w:rsidRPr="00152F73">
        <w:rPr>
          <w:rFonts w:ascii="Arial" w:hAnsi="Arial" w:cs="Arial"/>
          <w:spacing w:val="-13"/>
          <w:sz w:val="22"/>
          <w:szCs w:val="22"/>
        </w:rPr>
        <w:t xml:space="preserve"> </w:t>
      </w:r>
      <w:r w:rsidRPr="00152F73">
        <w:rPr>
          <w:rFonts w:ascii="Arial" w:hAnsi="Arial" w:cs="Arial"/>
          <w:sz w:val="22"/>
          <w:szCs w:val="22"/>
        </w:rPr>
        <w:t>Jan</w:t>
      </w:r>
      <w:r w:rsidRPr="00152F73">
        <w:rPr>
          <w:rFonts w:ascii="Arial" w:hAnsi="Arial" w:cs="Arial"/>
          <w:spacing w:val="-11"/>
          <w:sz w:val="22"/>
          <w:szCs w:val="22"/>
        </w:rPr>
        <w:t xml:space="preserve"> </w:t>
      </w:r>
      <w:r w:rsidRPr="00152F73">
        <w:rPr>
          <w:rFonts w:ascii="Arial" w:hAnsi="Arial" w:cs="Arial"/>
          <w:sz w:val="22"/>
          <w:szCs w:val="22"/>
        </w:rPr>
        <w:t>2021)</w:t>
      </w:r>
      <w:r w:rsidRPr="00152F73">
        <w:rPr>
          <w:rFonts w:ascii="Arial" w:hAnsi="Arial" w:cs="Arial"/>
          <w:spacing w:val="-13"/>
          <w:sz w:val="22"/>
          <w:szCs w:val="22"/>
        </w:rPr>
        <w:t xml:space="preserve"> </w:t>
      </w:r>
      <w:r w:rsidRPr="00152F73">
        <w:rPr>
          <w:rFonts w:ascii="Arial" w:hAnsi="Arial" w:cs="Arial"/>
          <w:sz w:val="22"/>
          <w:szCs w:val="22"/>
        </w:rPr>
        <w:t>Accessed: https://bnf.nice.org.uk/drug/parecoxib.html</w:t>
      </w:r>
    </w:p>
    <w:p w14:paraId="671BDAC6" w14:textId="77777777" w:rsidR="00AB5308" w:rsidRPr="00152F73" w:rsidRDefault="00AB5308" w:rsidP="00AB5308">
      <w:pPr>
        <w:pStyle w:val="BodyText"/>
        <w:spacing w:before="164"/>
        <w:ind w:left="100" w:right="1414"/>
        <w:rPr>
          <w:rFonts w:ascii="Arial" w:hAnsi="Arial" w:cs="Arial"/>
          <w:sz w:val="22"/>
          <w:szCs w:val="22"/>
        </w:rPr>
      </w:pPr>
      <w:r w:rsidRPr="00152F73">
        <w:rPr>
          <w:rFonts w:ascii="Arial" w:hAnsi="Arial" w:cs="Arial"/>
          <w:sz w:val="22"/>
          <w:szCs w:val="22"/>
        </w:rPr>
        <w:t>3. Armstrong P, Wilkinson P, McCorry N. Use of parecoxib by continuous subcutaneous infusion for cancer pain in a hospice population. BMJ Support Palliat Care. 2018; 8(1): 25-29.</w:t>
      </w:r>
    </w:p>
    <w:p w14:paraId="32A4D79D" w14:textId="77777777" w:rsidR="00AB5308" w:rsidRPr="00152F73" w:rsidRDefault="00AB5308" w:rsidP="00AB5308">
      <w:pPr>
        <w:pStyle w:val="BodyText"/>
        <w:rPr>
          <w:rFonts w:ascii="Arial" w:hAnsi="Arial" w:cs="Arial"/>
          <w:sz w:val="22"/>
          <w:szCs w:val="22"/>
        </w:rPr>
      </w:pPr>
    </w:p>
    <w:p w14:paraId="78F07B46" w14:textId="77777777" w:rsidR="00AB5308" w:rsidRPr="00152F73" w:rsidRDefault="00AB5308" w:rsidP="00AB5308">
      <w:pPr>
        <w:pStyle w:val="BodyText"/>
        <w:ind w:left="100" w:right="1414"/>
        <w:rPr>
          <w:rFonts w:ascii="Arial" w:hAnsi="Arial" w:cs="Arial"/>
          <w:sz w:val="22"/>
          <w:szCs w:val="22"/>
        </w:rPr>
      </w:pPr>
      <w:r w:rsidRPr="00152F73">
        <w:rPr>
          <w:rFonts w:ascii="Arial" w:hAnsi="Arial" w:cs="Arial"/>
          <w:sz w:val="22"/>
          <w:szCs w:val="22"/>
        </w:rPr>
        <w:t>4. Kenner D, Bhagat S, Fullerton S. Daily subcutaneous parecoxib injection for cancer pain: an open label pilot study. J Palliat Med, 2015. 18(4): 366-372.</w:t>
      </w:r>
    </w:p>
    <w:p w14:paraId="3CB61315" w14:textId="77777777" w:rsidR="00AB5308" w:rsidRPr="00152F73" w:rsidRDefault="00AB5308" w:rsidP="00AB5308">
      <w:pPr>
        <w:pStyle w:val="BodyText"/>
        <w:spacing w:before="11"/>
        <w:rPr>
          <w:rFonts w:ascii="Arial" w:hAnsi="Arial" w:cs="Arial"/>
          <w:sz w:val="22"/>
          <w:szCs w:val="22"/>
        </w:rPr>
      </w:pPr>
    </w:p>
    <w:p w14:paraId="3006E0C6" w14:textId="77777777" w:rsidR="00AB5308" w:rsidRPr="00152F73" w:rsidRDefault="00AB5308" w:rsidP="00AB5308">
      <w:pPr>
        <w:pStyle w:val="BodyText"/>
        <w:spacing w:before="1"/>
        <w:ind w:left="100" w:right="1414"/>
        <w:rPr>
          <w:rFonts w:ascii="Arial" w:hAnsi="Arial" w:cs="Arial"/>
          <w:sz w:val="22"/>
          <w:szCs w:val="22"/>
        </w:rPr>
      </w:pPr>
      <w:r w:rsidRPr="00152F73">
        <w:rPr>
          <w:rFonts w:ascii="Arial" w:hAnsi="Arial" w:cs="Arial"/>
          <w:sz w:val="22"/>
          <w:szCs w:val="22"/>
        </w:rPr>
        <w:t>5. Takerar A et al. Parecoxib as an adjunct therapy for the treatment of refractory non-surgical cancer pain. J Oncol Pharm Practi 2020; 26(6): 1407-1414</w:t>
      </w:r>
    </w:p>
    <w:p w14:paraId="12E9E519" w14:textId="77777777" w:rsidR="00AB5308" w:rsidRPr="00152F73" w:rsidRDefault="00AB5308" w:rsidP="00AB5308">
      <w:pPr>
        <w:pStyle w:val="BodyText"/>
        <w:spacing w:before="11"/>
        <w:rPr>
          <w:rFonts w:ascii="Arial" w:hAnsi="Arial" w:cs="Arial"/>
          <w:sz w:val="22"/>
          <w:szCs w:val="22"/>
        </w:rPr>
      </w:pPr>
    </w:p>
    <w:p w14:paraId="2036F0FE" w14:textId="2A0CE726" w:rsidR="00AB5308" w:rsidRPr="00152F73" w:rsidRDefault="00AB5308" w:rsidP="0016531F">
      <w:pPr>
        <w:pStyle w:val="BodyText"/>
        <w:ind w:left="100" w:right="1414"/>
        <w:rPr>
          <w:rFonts w:ascii="Arial" w:hAnsi="Arial" w:cs="Arial"/>
          <w:sz w:val="22"/>
          <w:szCs w:val="22"/>
        </w:rPr>
      </w:pPr>
      <w:r w:rsidRPr="00152F73">
        <w:rPr>
          <w:rFonts w:ascii="Arial" w:hAnsi="Arial" w:cs="Arial"/>
          <w:sz w:val="22"/>
          <w:szCs w:val="22"/>
        </w:rPr>
        <w:t>6.</w:t>
      </w:r>
      <w:r w:rsidRPr="00152F73">
        <w:rPr>
          <w:rFonts w:ascii="Arial" w:hAnsi="Arial" w:cs="Arial"/>
          <w:spacing w:val="-25"/>
          <w:sz w:val="22"/>
          <w:szCs w:val="22"/>
        </w:rPr>
        <w:t xml:space="preserve"> </w:t>
      </w:r>
      <w:r w:rsidRPr="00152F73">
        <w:rPr>
          <w:rFonts w:ascii="Arial" w:hAnsi="Arial" w:cs="Arial"/>
          <w:sz w:val="22"/>
          <w:szCs w:val="22"/>
        </w:rPr>
        <w:t>Kellett</w:t>
      </w:r>
      <w:r w:rsidRPr="00152F73">
        <w:rPr>
          <w:rFonts w:ascii="Arial" w:hAnsi="Arial" w:cs="Arial"/>
          <w:spacing w:val="-9"/>
          <w:sz w:val="22"/>
          <w:szCs w:val="22"/>
        </w:rPr>
        <w:t xml:space="preserve"> </w:t>
      </w:r>
      <w:r w:rsidRPr="00152F73">
        <w:rPr>
          <w:rFonts w:ascii="Arial" w:hAnsi="Arial" w:cs="Arial"/>
          <w:sz w:val="22"/>
          <w:szCs w:val="22"/>
        </w:rPr>
        <w:t>et</w:t>
      </w:r>
      <w:r w:rsidRPr="00152F73">
        <w:rPr>
          <w:rFonts w:ascii="Arial" w:hAnsi="Arial" w:cs="Arial"/>
          <w:spacing w:val="-10"/>
          <w:sz w:val="22"/>
          <w:szCs w:val="22"/>
        </w:rPr>
        <w:t xml:space="preserve"> </w:t>
      </w:r>
      <w:r w:rsidRPr="00152F73">
        <w:rPr>
          <w:rFonts w:ascii="Arial" w:hAnsi="Arial" w:cs="Arial"/>
          <w:sz w:val="22"/>
          <w:szCs w:val="22"/>
        </w:rPr>
        <w:t>al.</w:t>
      </w:r>
      <w:r w:rsidRPr="00152F73">
        <w:rPr>
          <w:rFonts w:ascii="Arial" w:hAnsi="Arial" w:cs="Arial"/>
          <w:spacing w:val="-10"/>
          <w:sz w:val="22"/>
          <w:szCs w:val="22"/>
        </w:rPr>
        <w:t xml:space="preserve"> </w:t>
      </w:r>
      <w:r w:rsidRPr="00152F73">
        <w:rPr>
          <w:rFonts w:ascii="Arial" w:hAnsi="Arial" w:cs="Arial"/>
          <w:sz w:val="22"/>
          <w:szCs w:val="22"/>
        </w:rPr>
        <w:t>Parecoxib</w:t>
      </w:r>
      <w:r w:rsidRPr="00152F73">
        <w:rPr>
          <w:rFonts w:ascii="Arial" w:hAnsi="Arial" w:cs="Arial"/>
          <w:spacing w:val="-9"/>
          <w:sz w:val="22"/>
          <w:szCs w:val="22"/>
        </w:rPr>
        <w:t xml:space="preserve"> </w:t>
      </w:r>
      <w:r w:rsidRPr="00152F73">
        <w:rPr>
          <w:rFonts w:ascii="Arial" w:hAnsi="Arial" w:cs="Arial"/>
          <w:sz w:val="22"/>
          <w:szCs w:val="22"/>
        </w:rPr>
        <w:t>for</w:t>
      </w:r>
      <w:r w:rsidRPr="00152F73">
        <w:rPr>
          <w:rFonts w:ascii="Arial" w:hAnsi="Arial" w:cs="Arial"/>
          <w:spacing w:val="-10"/>
          <w:sz w:val="22"/>
          <w:szCs w:val="22"/>
        </w:rPr>
        <w:t xml:space="preserve"> </w:t>
      </w:r>
      <w:r w:rsidRPr="00152F73">
        <w:rPr>
          <w:rFonts w:ascii="Arial" w:hAnsi="Arial" w:cs="Arial"/>
          <w:sz w:val="22"/>
          <w:szCs w:val="22"/>
        </w:rPr>
        <w:t>opioid-induced</w:t>
      </w:r>
      <w:r w:rsidRPr="00152F73">
        <w:rPr>
          <w:rFonts w:ascii="Arial" w:hAnsi="Arial" w:cs="Arial"/>
          <w:spacing w:val="-9"/>
          <w:sz w:val="22"/>
          <w:szCs w:val="22"/>
        </w:rPr>
        <w:t xml:space="preserve"> </w:t>
      </w:r>
      <w:r w:rsidRPr="00152F73">
        <w:rPr>
          <w:rFonts w:ascii="Arial" w:hAnsi="Arial" w:cs="Arial"/>
          <w:sz w:val="22"/>
          <w:szCs w:val="22"/>
        </w:rPr>
        <w:t>hyperalgesia.</w:t>
      </w:r>
      <w:r w:rsidRPr="00152F73">
        <w:rPr>
          <w:rFonts w:ascii="Arial" w:hAnsi="Arial" w:cs="Arial"/>
          <w:spacing w:val="-9"/>
          <w:sz w:val="22"/>
          <w:szCs w:val="22"/>
        </w:rPr>
        <w:t xml:space="preserve"> </w:t>
      </w:r>
      <w:r w:rsidRPr="00152F73">
        <w:rPr>
          <w:rFonts w:ascii="Arial" w:hAnsi="Arial" w:cs="Arial"/>
          <w:sz w:val="22"/>
          <w:szCs w:val="22"/>
        </w:rPr>
        <w:t>BMJ</w:t>
      </w:r>
      <w:r w:rsidRPr="00152F73">
        <w:rPr>
          <w:rFonts w:ascii="Arial" w:hAnsi="Arial" w:cs="Arial"/>
          <w:spacing w:val="-10"/>
          <w:sz w:val="22"/>
          <w:szCs w:val="22"/>
        </w:rPr>
        <w:t xml:space="preserve"> </w:t>
      </w:r>
      <w:r w:rsidRPr="00152F73">
        <w:rPr>
          <w:rFonts w:ascii="Arial" w:hAnsi="Arial" w:cs="Arial"/>
          <w:sz w:val="22"/>
          <w:szCs w:val="22"/>
        </w:rPr>
        <w:t>Support</w:t>
      </w:r>
      <w:r w:rsidRPr="00152F73">
        <w:rPr>
          <w:rFonts w:ascii="Arial" w:hAnsi="Arial" w:cs="Arial"/>
          <w:spacing w:val="-10"/>
          <w:sz w:val="22"/>
          <w:szCs w:val="22"/>
        </w:rPr>
        <w:t xml:space="preserve"> </w:t>
      </w:r>
      <w:r w:rsidRPr="00152F73">
        <w:rPr>
          <w:rFonts w:ascii="Arial" w:hAnsi="Arial" w:cs="Arial"/>
          <w:sz w:val="22"/>
          <w:szCs w:val="22"/>
        </w:rPr>
        <w:t>Palliat</w:t>
      </w:r>
      <w:r w:rsidRPr="00152F73">
        <w:rPr>
          <w:rFonts w:ascii="Arial" w:hAnsi="Arial" w:cs="Arial"/>
          <w:spacing w:val="-9"/>
          <w:sz w:val="22"/>
          <w:szCs w:val="22"/>
        </w:rPr>
        <w:t xml:space="preserve"> </w:t>
      </w:r>
      <w:r w:rsidRPr="00152F73">
        <w:rPr>
          <w:rFonts w:ascii="Arial" w:hAnsi="Arial" w:cs="Arial"/>
          <w:sz w:val="22"/>
          <w:szCs w:val="22"/>
        </w:rPr>
        <w:t>Care.</w:t>
      </w:r>
      <w:r w:rsidRPr="00152F73">
        <w:rPr>
          <w:rFonts w:ascii="Arial" w:hAnsi="Arial" w:cs="Arial"/>
          <w:spacing w:val="-10"/>
          <w:sz w:val="22"/>
          <w:szCs w:val="22"/>
        </w:rPr>
        <w:t xml:space="preserve"> </w:t>
      </w:r>
      <w:r w:rsidRPr="00152F73">
        <w:rPr>
          <w:rFonts w:ascii="Arial" w:hAnsi="Arial" w:cs="Arial"/>
          <w:sz w:val="22"/>
          <w:szCs w:val="22"/>
        </w:rPr>
        <w:t>2020</w:t>
      </w:r>
      <w:r w:rsidRPr="00152F73">
        <w:rPr>
          <w:rFonts w:ascii="Arial" w:hAnsi="Arial" w:cs="Arial"/>
          <w:spacing w:val="-9"/>
          <w:sz w:val="22"/>
          <w:szCs w:val="22"/>
        </w:rPr>
        <w:t xml:space="preserve"> </w:t>
      </w:r>
      <w:r w:rsidRPr="00152F73">
        <w:rPr>
          <w:rFonts w:ascii="Arial" w:hAnsi="Arial" w:cs="Arial"/>
          <w:sz w:val="22"/>
          <w:szCs w:val="22"/>
        </w:rPr>
        <w:t>Jun</w:t>
      </w:r>
      <w:r w:rsidRPr="00152F73">
        <w:rPr>
          <w:rFonts w:ascii="Arial" w:hAnsi="Arial" w:cs="Arial"/>
          <w:spacing w:val="-10"/>
          <w:sz w:val="22"/>
          <w:szCs w:val="22"/>
        </w:rPr>
        <w:t xml:space="preserve"> </w:t>
      </w:r>
      <w:r w:rsidRPr="00152F73">
        <w:rPr>
          <w:rFonts w:ascii="Arial" w:hAnsi="Arial" w:cs="Arial"/>
          <w:sz w:val="22"/>
          <w:szCs w:val="22"/>
        </w:rPr>
        <w:t xml:space="preserve">29:bmjspcare-2020- 002290. doi: 10.1136/bmjspcare-2020-002290. </w:t>
      </w:r>
      <w:r w:rsidRPr="00152F73">
        <w:rPr>
          <w:rFonts w:ascii="Arial" w:hAnsi="Arial" w:cs="Arial"/>
          <w:strike/>
          <w:sz w:val="22"/>
          <w:szCs w:val="22"/>
        </w:rPr>
        <w:t>Online ahead of</w:t>
      </w:r>
      <w:r w:rsidRPr="00152F73">
        <w:rPr>
          <w:rFonts w:ascii="Arial" w:hAnsi="Arial" w:cs="Arial"/>
          <w:strike/>
          <w:spacing w:val="-4"/>
          <w:sz w:val="22"/>
          <w:szCs w:val="22"/>
        </w:rPr>
        <w:t xml:space="preserve"> </w:t>
      </w:r>
      <w:r w:rsidRPr="00152F73">
        <w:rPr>
          <w:rFonts w:ascii="Arial" w:hAnsi="Arial" w:cs="Arial"/>
          <w:strike/>
          <w:sz w:val="22"/>
          <w:szCs w:val="22"/>
        </w:rPr>
        <w:t>print.</w:t>
      </w:r>
    </w:p>
    <w:p w14:paraId="72FDFA77" w14:textId="77777777" w:rsidR="0016531F" w:rsidRPr="00152F73" w:rsidRDefault="0016531F" w:rsidP="00AB5308">
      <w:pPr>
        <w:tabs>
          <w:tab w:val="left" w:pos="821"/>
        </w:tabs>
        <w:spacing w:before="8" w:line="256" w:lineRule="auto"/>
        <w:ind w:right="1440"/>
        <w:rPr>
          <w:rFonts w:ascii="Arial" w:hAnsi="Arial" w:cs="Arial"/>
        </w:rPr>
      </w:pPr>
    </w:p>
    <w:p w14:paraId="147EAC3B" w14:textId="395EB7F0" w:rsidR="0016531F" w:rsidRPr="00152F73" w:rsidRDefault="0016531F" w:rsidP="0016531F">
      <w:pPr>
        <w:pStyle w:val="BodyText"/>
        <w:spacing w:before="77"/>
        <w:ind w:left="100" w:right="1447"/>
        <w:jc w:val="both"/>
        <w:rPr>
          <w:rFonts w:ascii="Arial" w:hAnsi="Arial" w:cs="Arial"/>
          <w:sz w:val="22"/>
          <w:szCs w:val="22"/>
        </w:rPr>
      </w:pPr>
      <w:r w:rsidRPr="00152F73">
        <w:rPr>
          <w:rFonts w:ascii="Arial" w:hAnsi="Arial" w:cs="Arial"/>
          <w:sz w:val="22"/>
          <w:szCs w:val="22"/>
        </w:rPr>
        <w:t>7.</w:t>
      </w:r>
      <w:r w:rsidR="00152F73">
        <w:rPr>
          <w:rFonts w:ascii="Arial" w:hAnsi="Arial" w:cs="Arial"/>
          <w:sz w:val="22"/>
          <w:szCs w:val="22"/>
        </w:rPr>
        <w:t xml:space="preserve"> Syringe Driver Survey Database. </w:t>
      </w:r>
      <w:hyperlink r:id="rId18" w:history="1">
        <w:r w:rsidRPr="00152F73">
          <w:rPr>
            <w:rStyle w:val="Hyperlink"/>
            <w:rFonts w:ascii="Arial" w:hAnsi="Arial" w:cs="Arial"/>
            <w:color w:val="auto"/>
            <w:sz w:val="22"/>
            <w:szCs w:val="22"/>
          </w:rPr>
          <w:t>MedicinesComplete — Log in</w:t>
        </w:r>
      </w:hyperlink>
      <w:r w:rsidRPr="00152F73">
        <w:rPr>
          <w:rFonts w:ascii="Arial" w:hAnsi="Arial" w:cs="Arial"/>
          <w:sz w:val="22"/>
          <w:szCs w:val="22"/>
        </w:rPr>
        <w:t xml:space="preserve"> Accessed March 2024</w:t>
      </w:r>
    </w:p>
    <w:p w14:paraId="5AA216CB" w14:textId="77777777" w:rsidR="0016531F" w:rsidRPr="00152F73" w:rsidRDefault="0016531F" w:rsidP="0016531F">
      <w:pPr>
        <w:pStyle w:val="BodyText"/>
        <w:rPr>
          <w:rFonts w:ascii="Arial" w:hAnsi="Arial" w:cs="Arial"/>
          <w:sz w:val="22"/>
          <w:szCs w:val="22"/>
        </w:rPr>
      </w:pPr>
    </w:p>
    <w:p w14:paraId="17514EE7" w14:textId="77777777" w:rsidR="0016531F" w:rsidRDefault="0016531F" w:rsidP="0016531F">
      <w:pPr>
        <w:pStyle w:val="BodyText"/>
        <w:spacing w:line="319" w:lineRule="auto"/>
        <w:ind w:left="100" w:right="1442"/>
        <w:jc w:val="both"/>
        <w:rPr>
          <w:rFonts w:ascii="Arial" w:hAnsi="Arial" w:cs="Arial"/>
          <w:sz w:val="22"/>
          <w:szCs w:val="22"/>
        </w:rPr>
      </w:pPr>
      <w:r w:rsidRPr="00152F73">
        <w:rPr>
          <w:rFonts w:ascii="Arial" w:hAnsi="Arial" w:cs="Arial"/>
          <w:sz w:val="22"/>
          <w:szCs w:val="22"/>
        </w:rPr>
        <w:t>8. Schuq S et al. The safety profile of parecoxib for the treatment of postoperative pain: a pooled analysis of 28 randomized, double-blind, placebo-controlled clinical trials and a review of over 10 years of postauthorization data. J Pain Res 2017; 10: 2451-2459.</w:t>
      </w:r>
    </w:p>
    <w:p w14:paraId="1BA0A35E" w14:textId="77777777" w:rsidR="00152F73" w:rsidRPr="00152F73" w:rsidRDefault="00152F73" w:rsidP="0016531F">
      <w:pPr>
        <w:pStyle w:val="BodyText"/>
        <w:spacing w:line="319" w:lineRule="auto"/>
        <w:ind w:left="100" w:right="1442"/>
        <w:jc w:val="both"/>
        <w:rPr>
          <w:rFonts w:ascii="Arial" w:hAnsi="Arial" w:cs="Arial"/>
          <w:sz w:val="22"/>
          <w:szCs w:val="22"/>
        </w:rPr>
      </w:pPr>
    </w:p>
    <w:p w14:paraId="52BDAAC6" w14:textId="7306142B" w:rsidR="00AD0453" w:rsidRPr="00152F73" w:rsidRDefault="0016531F" w:rsidP="00152F73">
      <w:pPr>
        <w:pStyle w:val="BodyText"/>
        <w:spacing w:line="319" w:lineRule="auto"/>
        <w:ind w:left="100" w:right="1442"/>
        <w:jc w:val="both"/>
        <w:rPr>
          <w:rFonts w:ascii="Arial" w:hAnsi="Arial" w:cs="Arial"/>
        </w:rPr>
      </w:pPr>
      <w:r w:rsidRPr="00152F73">
        <w:rPr>
          <w:rFonts w:ascii="Arial" w:hAnsi="Arial" w:cs="Arial"/>
          <w:sz w:val="22"/>
          <w:szCs w:val="22"/>
        </w:rPr>
        <w:t xml:space="preserve">9. </w:t>
      </w:r>
      <w:r w:rsidRPr="00152F73">
        <w:rPr>
          <w:rStyle w:val="Hyperlink"/>
          <w:rFonts w:ascii="Arial" w:hAnsi="Arial" w:cs="Arial"/>
          <w:color w:val="auto"/>
          <w:sz w:val="22"/>
          <w:szCs w:val="22"/>
        </w:rPr>
        <w:t>Dynastat 40mg Powder for Solution for Injection - Summary of Product Characteristics (SmPC) - (emc) (medicines.org.uk)</w:t>
      </w:r>
      <w:bookmarkStart w:id="0" w:name="_GoBack"/>
      <w:bookmarkEnd w:id="0"/>
    </w:p>
    <w:sectPr w:rsidR="00AD0453" w:rsidRPr="00152F73" w:rsidSect="0016531F">
      <w:pgSz w:w="11910" w:h="16840"/>
      <w:pgMar w:top="1380" w:right="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7BC21" w14:textId="77777777" w:rsidR="008A39C4" w:rsidRDefault="008A39C4" w:rsidP="00525830">
      <w:r>
        <w:separator/>
      </w:r>
    </w:p>
  </w:endnote>
  <w:endnote w:type="continuationSeparator" w:id="0">
    <w:p w14:paraId="4EA95A7C" w14:textId="77777777" w:rsidR="008A39C4" w:rsidRDefault="008A39C4" w:rsidP="0052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7138" w14:textId="77777777" w:rsidR="00CB7143" w:rsidRDefault="00CB7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226395"/>
      <w:docPartObj>
        <w:docPartGallery w:val="Page Numbers (Bottom of Page)"/>
        <w:docPartUnique/>
      </w:docPartObj>
    </w:sdtPr>
    <w:sdtEndPr>
      <w:rPr>
        <w:noProof/>
      </w:rPr>
    </w:sdtEndPr>
    <w:sdtContent>
      <w:p w14:paraId="5B2251EE" w14:textId="1D2F1319" w:rsidR="00525830" w:rsidRDefault="00525830">
        <w:pPr>
          <w:pStyle w:val="Footer"/>
          <w:jc w:val="center"/>
        </w:pPr>
        <w:r>
          <w:fldChar w:fldCharType="begin"/>
        </w:r>
        <w:r>
          <w:instrText xml:space="preserve"> PAGE   \* MERGEFORMAT </w:instrText>
        </w:r>
        <w:r>
          <w:fldChar w:fldCharType="separate"/>
        </w:r>
        <w:r w:rsidR="00152F73">
          <w:rPr>
            <w:noProof/>
          </w:rPr>
          <w:t>3</w:t>
        </w:r>
        <w:r>
          <w:rPr>
            <w:noProof/>
          </w:rPr>
          <w:fldChar w:fldCharType="end"/>
        </w:r>
      </w:p>
    </w:sdtContent>
  </w:sdt>
  <w:p w14:paraId="2637603B" w14:textId="77777777" w:rsidR="00525830" w:rsidRDefault="005258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0C9B" w14:textId="77777777" w:rsidR="00CB7143" w:rsidRDefault="00CB7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70FF9" w14:textId="77777777" w:rsidR="008A39C4" w:rsidRDefault="008A39C4" w:rsidP="00525830">
      <w:r>
        <w:separator/>
      </w:r>
    </w:p>
  </w:footnote>
  <w:footnote w:type="continuationSeparator" w:id="0">
    <w:p w14:paraId="17A15F73" w14:textId="77777777" w:rsidR="008A39C4" w:rsidRDefault="008A39C4" w:rsidP="00525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0A9B5" w14:textId="753ADAFC" w:rsidR="00CB7143" w:rsidRDefault="008A39C4">
    <w:pPr>
      <w:pStyle w:val="Header"/>
    </w:pPr>
    <w:r>
      <w:rPr>
        <w:noProof/>
      </w:rPr>
      <w:pict w14:anchorId="1A52C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59126" o:spid="_x0000_s2050" type="#_x0000_t136" style="position:absolute;margin-left:0;margin-top:0;width:532.25pt;height:212.9pt;rotation:315;z-index:-251655168;mso-position-horizontal:center;mso-position-horizontal-relative:margin;mso-position-vertical:center;mso-position-vertical-relative:margin" o:allowincell="f" fillcolor="#a5a5a5 [2092]" stroked="f">
          <v:fill opacity=".5"/>
          <v:textpath style="font-family:&quot;Carlito&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17F9C" w14:textId="2BD5E625" w:rsidR="00CB7143" w:rsidRDefault="008A39C4">
    <w:pPr>
      <w:pStyle w:val="Header"/>
    </w:pPr>
    <w:r>
      <w:rPr>
        <w:noProof/>
      </w:rPr>
      <w:pict w14:anchorId="18AFD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59127" o:spid="_x0000_s2051" type="#_x0000_t136" style="position:absolute;margin-left:0;margin-top:0;width:532.25pt;height:212.9pt;rotation:315;z-index:-251653120;mso-position-horizontal:center;mso-position-horizontal-relative:margin;mso-position-vertical:center;mso-position-vertical-relative:margin" o:allowincell="f" fillcolor="#a5a5a5 [2092]" stroked="f">
          <v:fill opacity=".5"/>
          <v:textpath style="font-family:&quot;Carlito&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C27D" w14:textId="0CB0A2C8" w:rsidR="00CB7143" w:rsidRDefault="008A39C4">
    <w:pPr>
      <w:pStyle w:val="Header"/>
    </w:pPr>
    <w:r>
      <w:rPr>
        <w:noProof/>
      </w:rPr>
      <w:pict w14:anchorId="4D59E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59125" o:spid="_x0000_s2049" type="#_x0000_t136" style="position:absolute;margin-left:0;margin-top:0;width:532.25pt;height:212.9pt;rotation:315;z-index:-251657216;mso-position-horizontal:center;mso-position-horizontal-relative:margin;mso-position-vertical:center;mso-position-vertical-relative:margin" o:allowincell="f" fillcolor="#a5a5a5 [2092]" stroked="f">
          <v:fill opacity=".5"/>
          <v:textpath style="font-family:&quot;Carlito&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8CB"/>
    <w:multiLevelType w:val="hybridMultilevel"/>
    <w:tmpl w:val="8EFA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76D21"/>
    <w:multiLevelType w:val="hybridMultilevel"/>
    <w:tmpl w:val="A6988512"/>
    <w:lvl w:ilvl="0" w:tplc="9DE61A64">
      <w:numFmt w:val="bullet"/>
      <w:lvlText w:val=""/>
      <w:lvlJc w:val="left"/>
      <w:pPr>
        <w:ind w:left="460" w:hanging="360"/>
      </w:pPr>
      <w:rPr>
        <w:rFonts w:hint="default"/>
        <w:w w:val="99"/>
        <w:lang w:val="en-US" w:eastAsia="en-US" w:bidi="ar-SA"/>
      </w:rPr>
    </w:lvl>
    <w:lvl w:ilvl="1" w:tplc="E18428F2">
      <w:numFmt w:val="bullet"/>
      <w:lvlText w:val="•"/>
      <w:lvlJc w:val="left"/>
      <w:pPr>
        <w:ind w:left="1434" w:hanging="360"/>
      </w:pPr>
      <w:rPr>
        <w:rFonts w:hint="default"/>
        <w:lang w:val="en-US" w:eastAsia="en-US" w:bidi="ar-SA"/>
      </w:rPr>
    </w:lvl>
    <w:lvl w:ilvl="2" w:tplc="252ED65E">
      <w:numFmt w:val="bullet"/>
      <w:lvlText w:val="•"/>
      <w:lvlJc w:val="left"/>
      <w:pPr>
        <w:ind w:left="2409" w:hanging="360"/>
      </w:pPr>
      <w:rPr>
        <w:rFonts w:hint="default"/>
        <w:lang w:val="en-US" w:eastAsia="en-US" w:bidi="ar-SA"/>
      </w:rPr>
    </w:lvl>
    <w:lvl w:ilvl="3" w:tplc="8F063B9A">
      <w:numFmt w:val="bullet"/>
      <w:lvlText w:val="•"/>
      <w:lvlJc w:val="left"/>
      <w:pPr>
        <w:ind w:left="3383" w:hanging="360"/>
      </w:pPr>
      <w:rPr>
        <w:rFonts w:hint="default"/>
        <w:lang w:val="en-US" w:eastAsia="en-US" w:bidi="ar-SA"/>
      </w:rPr>
    </w:lvl>
    <w:lvl w:ilvl="4" w:tplc="E534BBEC">
      <w:numFmt w:val="bullet"/>
      <w:lvlText w:val="•"/>
      <w:lvlJc w:val="left"/>
      <w:pPr>
        <w:ind w:left="4358" w:hanging="360"/>
      </w:pPr>
      <w:rPr>
        <w:rFonts w:hint="default"/>
        <w:lang w:val="en-US" w:eastAsia="en-US" w:bidi="ar-SA"/>
      </w:rPr>
    </w:lvl>
    <w:lvl w:ilvl="5" w:tplc="FA764E76">
      <w:numFmt w:val="bullet"/>
      <w:lvlText w:val="•"/>
      <w:lvlJc w:val="left"/>
      <w:pPr>
        <w:ind w:left="5333" w:hanging="360"/>
      </w:pPr>
      <w:rPr>
        <w:rFonts w:hint="default"/>
        <w:lang w:val="en-US" w:eastAsia="en-US" w:bidi="ar-SA"/>
      </w:rPr>
    </w:lvl>
    <w:lvl w:ilvl="6" w:tplc="75A008F8">
      <w:numFmt w:val="bullet"/>
      <w:lvlText w:val="•"/>
      <w:lvlJc w:val="left"/>
      <w:pPr>
        <w:ind w:left="6307" w:hanging="360"/>
      </w:pPr>
      <w:rPr>
        <w:rFonts w:hint="default"/>
        <w:lang w:val="en-US" w:eastAsia="en-US" w:bidi="ar-SA"/>
      </w:rPr>
    </w:lvl>
    <w:lvl w:ilvl="7" w:tplc="644AC3B0">
      <w:numFmt w:val="bullet"/>
      <w:lvlText w:val="•"/>
      <w:lvlJc w:val="left"/>
      <w:pPr>
        <w:ind w:left="7282" w:hanging="360"/>
      </w:pPr>
      <w:rPr>
        <w:rFonts w:hint="default"/>
        <w:lang w:val="en-US" w:eastAsia="en-US" w:bidi="ar-SA"/>
      </w:rPr>
    </w:lvl>
    <w:lvl w:ilvl="8" w:tplc="D8AA8392">
      <w:numFmt w:val="bullet"/>
      <w:lvlText w:val="•"/>
      <w:lvlJc w:val="left"/>
      <w:pPr>
        <w:ind w:left="8257" w:hanging="360"/>
      </w:pPr>
      <w:rPr>
        <w:rFonts w:hint="default"/>
        <w:lang w:val="en-US" w:eastAsia="en-US" w:bidi="ar-SA"/>
      </w:rPr>
    </w:lvl>
  </w:abstractNum>
  <w:abstractNum w:abstractNumId="2" w15:restartNumberingAfterBreak="0">
    <w:nsid w:val="25D80DD8"/>
    <w:multiLevelType w:val="hybridMultilevel"/>
    <w:tmpl w:val="7356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56049"/>
    <w:multiLevelType w:val="hybridMultilevel"/>
    <w:tmpl w:val="C2E43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96C04"/>
    <w:multiLevelType w:val="hybridMultilevel"/>
    <w:tmpl w:val="A53A0AD2"/>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ABD1CA1"/>
    <w:multiLevelType w:val="hybridMultilevel"/>
    <w:tmpl w:val="36C0DF1A"/>
    <w:lvl w:ilvl="0" w:tplc="08090001">
      <w:start w:val="1"/>
      <w:numFmt w:val="bullet"/>
      <w:lvlText w:val=""/>
      <w:lvlJc w:val="left"/>
      <w:pPr>
        <w:ind w:left="460" w:hanging="360"/>
      </w:pPr>
      <w:rPr>
        <w:rFonts w:ascii="Symbol" w:hAnsi="Symbol" w:hint="default"/>
        <w:w w:val="99"/>
        <w:lang w:val="en-US" w:eastAsia="en-US" w:bidi="ar-SA"/>
      </w:rPr>
    </w:lvl>
    <w:lvl w:ilvl="1" w:tplc="FFFFFFFF">
      <w:numFmt w:val="bullet"/>
      <w:lvlText w:val="•"/>
      <w:lvlJc w:val="left"/>
      <w:pPr>
        <w:ind w:left="1434" w:hanging="360"/>
      </w:pPr>
      <w:rPr>
        <w:rFonts w:hint="default"/>
        <w:lang w:val="en-US" w:eastAsia="en-US" w:bidi="ar-SA"/>
      </w:rPr>
    </w:lvl>
    <w:lvl w:ilvl="2" w:tplc="FFFFFFFF">
      <w:numFmt w:val="bullet"/>
      <w:lvlText w:val="•"/>
      <w:lvlJc w:val="left"/>
      <w:pPr>
        <w:ind w:left="2409" w:hanging="360"/>
      </w:pPr>
      <w:rPr>
        <w:rFonts w:hint="default"/>
        <w:lang w:val="en-US" w:eastAsia="en-US" w:bidi="ar-SA"/>
      </w:rPr>
    </w:lvl>
    <w:lvl w:ilvl="3" w:tplc="FFFFFFFF">
      <w:numFmt w:val="bullet"/>
      <w:lvlText w:val="•"/>
      <w:lvlJc w:val="left"/>
      <w:pPr>
        <w:ind w:left="3383" w:hanging="360"/>
      </w:pPr>
      <w:rPr>
        <w:rFonts w:hint="default"/>
        <w:lang w:val="en-US" w:eastAsia="en-US" w:bidi="ar-SA"/>
      </w:rPr>
    </w:lvl>
    <w:lvl w:ilvl="4" w:tplc="FFFFFFFF">
      <w:numFmt w:val="bullet"/>
      <w:lvlText w:val="•"/>
      <w:lvlJc w:val="left"/>
      <w:pPr>
        <w:ind w:left="4358"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6307" w:hanging="360"/>
      </w:pPr>
      <w:rPr>
        <w:rFonts w:hint="default"/>
        <w:lang w:val="en-US" w:eastAsia="en-US" w:bidi="ar-SA"/>
      </w:rPr>
    </w:lvl>
    <w:lvl w:ilvl="7" w:tplc="FFFFFFFF">
      <w:numFmt w:val="bullet"/>
      <w:lvlText w:val="•"/>
      <w:lvlJc w:val="left"/>
      <w:pPr>
        <w:ind w:left="7282" w:hanging="360"/>
      </w:pPr>
      <w:rPr>
        <w:rFonts w:hint="default"/>
        <w:lang w:val="en-US" w:eastAsia="en-US" w:bidi="ar-SA"/>
      </w:rPr>
    </w:lvl>
    <w:lvl w:ilvl="8" w:tplc="FFFFFFFF">
      <w:numFmt w:val="bullet"/>
      <w:lvlText w:val="•"/>
      <w:lvlJc w:val="left"/>
      <w:pPr>
        <w:ind w:left="8257" w:hanging="360"/>
      </w:pPr>
      <w:rPr>
        <w:rFonts w:hint="default"/>
        <w:lang w:val="en-US" w:eastAsia="en-US" w:bidi="ar-SA"/>
      </w:rPr>
    </w:lvl>
  </w:abstractNum>
  <w:abstractNum w:abstractNumId="6" w15:restartNumberingAfterBreak="0">
    <w:nsid w:val="40E55DB1"/>
    <w:multiLevelType w:val="hybridMultilevel"/>
    <w:tmpl w:val="E9E0DDF6"/>
    <w:lvl w:ilvl="0" w:tplc="08090001">
      <w:start w:val="1"/>
      <w:numFmt w:val="bullet"/>
      <w:lvlText w:val=""/>
      <w:lvlJc w:val="left"/>
      <w:pPr>
        <w:ind w:left="460" w:hanging="360"/>
      </w:pPr>
      <w:rPr>
        <w:rFonts w:ascii="Symbol" w:hAnsi="Symbol" w:hint="default"/>
        <w:w w:val="99"/>
        <w:lang w:val="en-US" w:eastAsia="en-US" w:bidi="ar-SA"/>
      </w:rPr>
    </w:lvl>
    <w:lvl w:ilvl="1" w:tplc="FFFFFFFF">
      <w:numFmt w:val="bullet"/>
      <w:lvlText w:val="•"/>
      <w:lvlJc w:val="left"/>
      <w:pPr>
        <w:ind w:left="1434" w:hanging="360"/>
      </w:pPr>
      <w:rPr>
        <w:rFonts w:hint="default"/>
        <w:lang w:val="en-US" w:eastAsia="en-US" w:bidi="ar-SA"/>
      </w:rPr>
    </w:lvl>
    <w:lvl w:ilvl="2" w:tplc="FFFFFFFF">
      <w:numFmt w:val="bullet"/>
      <w:lvlText w:val="•"/>
      <w:lvlJc w:val="left"/>
      <w:pPr>
        <w:ind w:left="2409" w:hanging="360"/>
      </w:pPr>
      <w:rPr>
        <w:rFonts w:hint="default"/>
        <w:lang w:val="en-US" w:eastAsia="en-US" w:bidi="ar-SA"/>
      </w:rPr>
    </w:lvl>
    <w:lvl w:ilvl="3" w:tplc="FFFFFFFF">
      <w:numFmt w:val="bullet"/>
      <w:lvlText w:val="•"/>
      <w:lvlJc w:val="left"/>
      <w:pPr>
        <w:ind w:left="3383" w:hanging="360"/>
      </w:pPr>
      <w:rPr>
        <w:rFonts w:hint="default"/>
        <w:lang w:val="en-US" w:eastAsia="en-US" w:bidi="ar-SA"/>
      </w:rPr>
    </w:lvl>
    <w:lvl w:ilvl="4" w:tplc="FFFFFFFF">
      <w:numFmt w:val="bullet"/>
      <w:lvlText w:val="•"/>
      <w:lvlJc w:val="left"/>
      <w:pPr>
        <w:ind w:left="4358"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6307" w:hanging="360"/>
      </w:pPr>
      <w:rPr>
        <w:rFonts w:hint="default"/>
        <w:lang w:val="en-US" w:eastAsia="en-US" w:bidi="ar-SA"/>
      </w:rPr>
    </w:lvl>
    <w:lvl w:ilvl="7" w:tplc="FFFFFFFF">
      <w:numFmt w:val="bullet"/>
      <w:lvlText w:val="•"/>
      <w:lvlJc w:val="left"/>
      <w:pPr>
        <w:ind w:left="7282" w:hanging="360"/>
      </w:pPr>
      <w:rPr>
        <w:rFonts w:hint="default"/>
        <w:lang w:val="en-US" w:eastAsia="en-US" w:bidi="ar-SA"/>
      </w:rPr>
    </w:lvl>
    <w:lvl w:ilvl="8" w:tplc="FFFFFFFF">
      <w:numFmt w:val="bullet"/>
      <w:lvlText w:val="•"/>
      <w:lvlJc w:val="left"/>
      <w:pPr>
        <w:ind w:left="8257" w:hanging="360"/>
      </w:pPr>
      <w:rPr>
        <w:rFonts w:hint="default"/>
        <w:lang w:val="en-US" w:eastAsia="en-US" w:bidi="ar-SA"/>
      </w:rPr>
    </w:lvl>
  </w:abstractNum>
  <w:abstractNum w:abstractNumId="7" w15:restartNumberingAfterBreak="0">
    <w:nsid w:val="585206A9"/>
    <w:multiLevelType w:val="hybridMultilevel"/>
    <w:tmpl w:val="4378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F40676"/>
    <w:multiLevelType w:val="hybridMultilevel"/>
    <w:tmpl w:val="7F4E3E4A"/>
    <w:lvl w:ilvl="0" w:tplc="08090001">
      <w:start w:val="1"/>
      <w:numFmt w:val="bullet"/>
      <w:lvlText w:val=""/>
      <w:lvlJc w:val="left"/>
      <w:pPr>
        <w:ind w:left="460" w:hanging="360"/>
      </w:pPr>
      <w:rPr>
        <w:rFonts w:ascii="Symbol" w:hAnsi="Symbol" w:hint="default"/>
        <w:w w:val="99"/>
        <w:lang w:val="en-US" w:eastAsia="en-US" w:bidi="ar-SA"/>
      </w:rPr>
    </w:lvl>
    <w:lvl w:ilvl="1" w:tplc="FFFFFFFF">
      <w:numFmt w:val="bullet"/>
      <w:lvlText w:val="•"/>
      <w:lvlJc w:val="left"/>
      <w:pPr>
        <w:ind w:left="1434" w:hanging="360"/>
      </w:pPr>
      <w:rPr>
        <w:rFonts w:hint="default"/>
        <w:lang w:val="en-US" w:eastAsia="en-US" w:bidi="ar-SA"/>
      </w:rPr>
    </w:lvl>
    <w:lvl w:ilvl="2" w:tplc="FFFFFFFF">
      <w:numFmt w:val="bullet"/>
      <w:lvlText w:val="•"/>
      <w:lvlJc w:val="left"/>
      <w:pPr>
        <w:ind w:left="2409" w:hanging="360"/>
      </w:pPr>
      <w:rPr>
        <w:rFonts w:hint="default"/>
        <w:lang w:val="en-US" w:eastAsia="en-US" w:bidi="ar-SA"/>
      </w:rPr>
    </w:lvl>
    <w:lvl w:ilvl="3" w:tplc="FFFFFFFF">
      <w:numFmt w:val="bullet"/>
      <w:lvlText w:val="•"/>
      <w:lvlJc w:val="left"/>
      <w:pPr>
        <w:ind w:left="3383" w:hanging="360"/>
      </w:pPr>
      <w:rPr>
        <w:rFonts w:hint="default"/>
        <w:lang w:val="en-US" w:eastAsia="en-US" w:bidi="ar-SA"/>
      </w:rPr>
    </w:lvl>
    <w:lvl w:ilvl="4" w:tplc="FFFFFFFF">
      <w:numFmt w:val="bullet"/>
      <w:lvlText w:val="•"/>
      <w:lvlJc w:val="left"/>
      <w:pPr>
        <w:ind w:left="4358"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6307" w:hanging="360"/>
      </w:pPr>
      <w:rPr>
        <w:rFonts w:hint="default"/>
        <w:lang w:val="en-US" w:eastAsia="en-US" w:bidi="ar-SA"/>
      </w:rPr>
    </w:lvl>
    <w:lvl w:ilvl="7" w:tplc="FFFFFFFF">
      <w:numFmt w:val="bullet"/>
      <w:lvlText w:val="•"/>
      <w:lvlJc w:val="left"/>
      <w:pPr>
        <w:ind w:left="7282" w:hanging="360"/>
      </w:pPr>
      <w:rPr>
        <w:rFonts w:hint="default"/>
        <w:lang w:val="en-US" w:eastAsia="en-US" w:bidi="ar-SA"/>
      </w:rPr>
    </w:lvl>
    <w:lvl w:ilvl="8" w:tplc="FFFFFFFF">
      <w:numFmt w:val="bullet"/>
      <w:lvlText w:val="•"/>
      <w:lvlJc w:val="left"/>
      <w:pPr>
        <w:ind w:left="8257" w:hanging="360"/>
      </w:pPr>
      <w:rPr>
        <w:rFonts w:hint="default"/>
        <w:lang w:val="en-US" w:eastAsia="en-US" w:bidi="ar-SA"/>
      </w:rPr>
    </w:lvl>
  </w:abstractNum>
  <w:abstractNum w:abstractNumId="9" w15:restartNumberingAfterBreak="0">
    <w:nsid w:val="63DB0ED4"/>
    <w:multiLevelType w:val="hybridMultilevel"/>
    <w:tmpl w:val="45DC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260BF"/>
    <w:multiLevelType w:val="hybridMultilevel"/>
    <w:tmpl w:val="A966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B5223"/>
    <w:multiLevelType w:val="hybridMultilevel"/>
    <w:tmpl w:val="AD14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9"/>
  </w:num>
  <w:num w:numId="8">
    <w:abstractNumId w:val="3"/>
  </w:num>
  <w:num w:numId="9">
    <w:abstractNumId w:val="0"/>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5F"/>
    <w:rsid w:val="00034EA4"/>
    <w:rsid w:val="000976C3"/>
    <w:rsid w:val="00102C4D"/>
    <w:rsid w:val="00106D3D"/>
    <w:rsid w:val="00115DC8"/>
    <w:rsid w:val="00132AAC"/>
    <w:rsid w:val="00134B19"/>
    <w:rsid w:val="00140DF7"/>
    <w:rsid w:val="00152F73"/>
    <w:rsid w:val="001652A4"/>
    <w:rsid w:val="0016531F"/>
    <w:rsid w:val="00165A02"/>
    <w:rsid w:val="00194597"/>
    <w:rsid w:val="001D63E9"/>
    <w:rsid w:val="00224DD0"/>
    <w:rsid w:val="00240AAC"/>
    <w:rsid w:val="0027280D"/>
    <w:rsid w:val="00280B13"/>
    <w:rsid w:val="002E2C6D"/>
    <w:rsid w:val="003122B9"/>
    <w:rsid w:val="003151D5"/>
    <w:rsid w:val="00344297"/>
    <w:rsid w:val="00367695"/>
    <w:rsid w:val="00377A21"/>
    <w:rsid w:val="003F271B"/>
    <w:rsid w:val="003F5B6D"/>
    <w:rsid w:val="00421B3E"/>
    <w:rsid w:val="004402A9"/>
    <w:rsid w:val="00446F99"/>
    <w:rsid w:val="00481D04"/>
    <w:rsid w:val="004B22D1"/>
    <w:rsid w:val="004D79CC"/>
    <w:rsid w:val="004F2623"/>
    <w:rsid w:val="00525830"/>
    <w:rsid w:val="0055508B"/>
    <w:rsid w:val="00573C0D"/>
    <w:rsid w:val="005949A3"/>
    <w:rsid w:val="005D2E79"/>
    <w:rsid w:val="005F6301"/>
    <w:rsid w:val="005F6BD4"/>
    <w:rsid w:val="00636A38"/>
    <w:rsid w:val="006971E6"/>
    <w:rsid w:val="006B587B"/>
    <w:rsid w:val="006C2332"/>
    <w:rsid w:val="006D4481"/>
    <w:rsid w:val="00746495"/>
    <w:rsid w:val="00793FA1"/>
    <w:rsid w:val="007A7D24"/>
    <w:rsid w:val="007D0284"/>
    <w:rsid w:val="00835F80"/>
    <w:rsid w:val="00894D98"/>
    <w:rsid w:val="008A39C4"/>
    <w:rsid w:val="00911C5F"/>
    <w:rsid w:val="00960C98"/>
    <w:rsid w:val="00983EE0"/>
    <w:rsid w:val="009A213D"/>
    <w:rsid w:val="009D0B00"/>
    <w:rsid w:val="009D7E8F"/>
    <w:rsid w:val="00A641F0"/>
    <w:rsid w:val="00AA5297"/>
    <w:rsid w:val="00AB5308"/>
    <w:rsid w:val="00AD0453"/>
    <w:rsid w:val="00AD2318"/>
    <w:rsid w:val="00B347BF"/>
    <w:rsid w:val="00B43878"/>
    <w:rsid w:val="00B72FA2"/>
    <w:rsid w:val="00BB6262"/>
    <w:rsid w:val="00BC3F19"/>
    <w:rsid w:val="00C656AF"/>
    <w:rsid w:val="00C66370"/>
    <w:rsid w:val="00C84B80"/>
    <w:rsid w:val="00CB7143"/>
    <w:rsid w:val="00CC0479"/>
    <w:rsid w:val="00CE56E2"/>
    <w:rsid w:val="00D430E3"/>
    <w:rsid w:val="00D43AE4"/>
    <w:rsid w:val="00D47BC7"/>
    <w:rsid w:val="00D669F4"/>
    <w:rsid w:val="00D71C4F"/>
    <w:rsid w:val="00D74460"/>
    <w:rsid w:val="00D75C96"/>
    <w:rsid w:val="00DB51C6"/>
    <w:rsid w:val="00E5371D"/>
    <w:rsid w:val="00E720CB"/>
    <w:rsid w:val="00E77B6C"/>
    <w:rsid w:val="00E90B79"/>
    <w:rsid w:val="00EF4F75"/>
    <w:rsid w:val="00F44748"/>
    <w:rsid w:val="00F46727"/>
    <w:rsid w:val="00F67507"/>
    <w:rsid w:val="00FB7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D460AC"/>
  <w15:docId w15:val="{1D7019D3-6748-4A65-8E11-282A28AC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94"/>
      <w:ind w:left="97" w:right="1434"/>
      <w:jc w:val="center"/>
      <w:outlineLvl w:val="0"/>
    </w:pPr>
    <w:rPr>
      <w:rFonts w:ascii="Arial" w:eastAsia="Arial" w:hAnsi="Arial" w:cs="Arial"/>
      <w:b/>
      <w:bCs/>
    </w:rPr>
  </w:style>
  <w:style w:type="paragraph" w:styleId="Heading2">
    <w:name w:val="heading 2"/>
    <w:basedOn w:val="Normal"/>
    <w:uiPriority w:val="1"/>
    <w:qFormat/>
    <w:pPr>
      <w:spacing w:before="1"/>
      <w:ind w:left="208"/>
      <w:outlineLvl w:val="1"/>
    </w:pPr>
  </w:style>
  <w:style w:type="paragraph" w:styleId="Heading3">
    <w:name w:val="heading 3"/>
    <w:basedOn w:val="Normal"/>
    <w:uiPriority w:val="1"/>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right="1437" w:hanging="360"/>
      <w:jc w:val="both"/>
    </w:pPr>
  </w:style>
  <w:style w:type="paragraph" w:customStyle="1" w:styleId="TableParagraph">
    <w:name w:val="Table Paragraph"/>
    <w:basedOn w:val="Normal"/>
    <w:uiPriority w:val="1"/>
    <w:qFormat/>
    <w:pPr>
      <w:spacing w:line="248" w:lineRule="exact"/>
      <w:ind w:left="107"/>
    </w:pPr>
    <w:rPr>
      <w:rFonts w:ascii="Arial" w:eastAsia="Arial" w:hAnsi="Arial" w:cs="Arial"/>
    </w:rPr>
  </w:style>
  <w:style w:type="character" w:styleId="Hyperlink">
    <w:name w:val="Hyperlink"/>
    <w:basedOn w:val="DefaultParagraphFont"/>
    <w:uiPriority w:val="99"/>
    <w:semiHidden/>
    <w:unhideWhenUsed/>
    <w:rsid w:val="005949A3"/>
    <w:rPr>
      <w:color w:val="0000FF"/>
      <w:u w:val="single"/>
    </w:rPr>
  </w:style>
  <w:style w:type="paragraph" w:styleId="Header">
    <w:name w:val="header"/>
    <w:basedOn w:val="Normal"/>
    <w:link w:val="HeaderChar"/>
    <w:uiPriority w:val="99"/>
    <w:unhideWhenUsed/>
    <w:rsid w:val="00525830"/>
    <w:pPr>
      <w:tabs>
        <w:tab w:val="center" w:pos="4513"/>
        <w:tab w:val="right" w:pos="9026"/>
      </w:tabs>
    </w:pPr>
  </w:style>
  <w:style w:type="character" w:customStyle="1" w:styleId="HeaderChar">
    <w:name w:val="Header Char"/>
    <w:basedOn w:val="DefaultParagraphFont"/>
    <w:link w:val="Header"/>
    <w:uiPriority w:val="99"/>
    <w:rsid w:val="00525830"/>
    <w:rPr>
      <w:rFonts w:ascii="Carlito" w:eastAsia="Carlito" w:hAnsi="Carlito" w:cs="Carlito"/>
    </w:rPr>
  </w:style>
  <w:style w:type="paragraph" w:styleId="Footer">
    <w:name w:val="footer"/>
    <w:basedOn w:val="Normal"/>
    <w:link w:val="FooterChar"/>
    <w:uiPriority w:val="99"/>
    <w:unhideWhenUsed/>
    <w:rsid w:val="00525830"/>
    <w:pPr>
      <w:tabs>
        <w:tab w:val="center" w:pos="4513"/>
        <w:tab w:val="right" w:pos="9026"/>
      </w:tabs>
    </w:pPr>
  </w:style>
  <w:style w:type="character" w:customStyle="1" w:styleId="FooterChar">
    <w:name w:val="Footer Char"/>
    <w:basedOn w:val="DefaultParagraphFont"/>
    <w:link w:val="Footer"/>
    <w:uiPriority w:val="99"/>
    <w:rsid w:val="00525830"/>
    <w:rPr>
      <w:rFonts w:ascii="Carlito" w:eastAsia="Carlito" w:hAnsi="Carlito" w:cs="Carlito"/>
    </w:rPr>
  </w:style>
  <w:style w:type="table" w:styleId="TableGrid">
    <w:name w:val="Table Grid"/>
    <w:basedOn w:val="TableNormal"/>
    <w:uiPriority w:val="39"/>
    <w:rsid w:val="00D75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edicinescomplete.com/log-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8D345775B494C851175ED552D48D5" ma:contentTypeVersion="16" ma:contentTypeDescription="Create a new document." ma:contentTypeScope="" ma:versionID="6cc5298db197555ca4e65c552cc846ed">
  <xsd:schema xmlns:xsd="http://www.w3.org/2001/XMLSchema" xmlns:xs="http://www.w3.org/2001/XMLSchema" xmlns:p="http://schemas.microsoft.com/office/2006/metadata/properties" xmlns:ns2="0a4903b3-80a8-4474-b9a0-6e2118ae9c46" xmlns:ns3="e311080c-dc1b-4d7c-950c-588fbb8babe0" xmlns:ns4="06773979-7334-4fa0-9714-136a29206218" targetNamespace="http://schemas.microsoft.com/office/2006/metadata/properties" ma:root="true" ma:fieldsID="161701f79bb6ecd4d6dd4f643ddc67ea" ns2:_="" ns3:_="" ns4:_="">
    <xsd:import namespace="0a4903b3-80a8-4474-b9a0-6e2118ae9c46"/>
    <xsd:import namespace="e311080c-dc1b-4d7c-950c-588fbb8babe0"/>
    <xsd:import namespace="06773979-7334-4fa0-9714-136a29206218"/>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a031462-9100-4ea0-8509-70a150896659}" ma:internalName="TaxCatchAll" ma:showField="CatchAllData" ma:web="06773979-7334-4fa0-9714-136a2920621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a031462-9100-4ea0-8509-70a150896659}" ma:internalName="TaxCatchAllLabel" ma:readOnly="true" ma:showField="CatchAllDataLabel" ma:web="06773979-7334-4fa0-9714-136a29206218">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1080c-dc1b-4d7c-950c-588fbb8bab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866178-dfdb-463e-9201-11ab88f806b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73979-7334-4fa0-9714-136a292062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11080c-dc1b-4d7c-950c-588fbb8babe0">
      <Terms xmlns="http://schemas.microsoft.com/office/infopath/2007/PartnerControls"/>
    </lcf76f155ced4ddcb4097134ff3c332f>
    <TaxCatchAll xmlns="0a4903b3-80a8-4474-b9a0-6e2118ae9c46" xsi:nil="true"/>
    <be126ba0573b4ac6a385b4bdbdabb5f8 xmlns="0a4903b3-80a8-4474-b9a0-6e2118ae9c46">
      <Terms xmlns="http://schemas.microsoft.com/office/infopath/2007/PartnerControls"/>
    </be126ba0573b4ac6a385b4bdbdabb5f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6866178-dfdb-463e-9201-11ab88f806b8" ContentTypeId="0x0101" PreviousValue="false" LastSyncTimeStamp="2016-02-08T17:19:18.48Z"/>
</file>

<file path=customXml/itemProps1.xml><?xml version="1.0" encoding="utf-8"?>
<ds:datastoreItem xmlns:ds="http://schemas.openxmlformats.org/officeDocument/2006/customXml" ds:itemID="{D39FDB62-480B-45AA-B8EA-F11661FF0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e311080c-dc1b-4d7c-950c-588fbb8babe0"/>
    <ds:schemaRef ds:uri="06773979-7334-4fa0-9714-136a2920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905A7-E412-44FE-A01A-C1D0B0544FA6}">
  <ds:schemaRefs>
    <ds:schemaRef ds:uri="http://schemas.microsoft.com/office/2006/metadata/properties"/>
    <ds:schemaRef ds:uri="http://schemas.microsoft.com/office/infopath/2007/PartnerControls"/>
    <ds:schemaRef ds:uri="e311080c-dc1b-4d7c-950c-588fbb8babe0"/>
    <ds:schemaRef ds:uri="0a4903b3-80a8-4474-b9a0-6e2118ae9c46"/>
  </ds:schemaRefs>
</ds:datastoreItem>
</file>

<file path=customXml/itemProps3.xml><?xml version="1.0" encoding="utf-8"?>
<ds:datastoreItem xmlns:ds="http://schemas.openxmlformats.org/officeDocument/2006/customXml" ds:itemID="{DEECA445-B2B4-402E-9E9B-022B50606E08}">
  <ds:schemaRefs>
    <ds:schemaRef ds:uri="http://schemas.microsoft.com/sharepoint/v3/contenttype/forms"/>
  </ds:schemaRefs>
</ds:datastoreItem>
</file>

<file path=customXml/itemProps4.xml><?xml version="1.0" encoding="utf-8"?>
<ds:datastoreItem xmlns:ds="http://schemas.openxmlformats.org/officeDocument/2006/customXml" ds:itemID="{9DBE2F5E-BF85-4C27-A3A5-59183BC6118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Khan</dc:creator>
  <cp:lastModifiedBy>User</cp:lastModifiedBy>
  <cp:revision>2</cp:revision>
  <dcterms:created xsi:type="dcterms:W3CDTF">2024-04-08T13:44:00Z</dcterms:created>
  <dcterms:modified xsi:type="dcterms:W3CDTF">2024-04-08T13:44:00Z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Foxit Software Inc.</vt:lpwstr>
  </property>
  <property fmtid="{D5CDD505-2E9C-101B-9397-08002B2CF9AE}" pid="4" name="LastSaved">
    <vt:filetime>2023-12-06T00:00:00Z</vt:filetime>
  </property>
  <property fmtid="{D5CDD505-2E9C-101B-9397-08002B2CF9AE}" pid="5" name="ContentTypeId">
    <vt:lpwstr>0x0101006FE8D345775B494C851175ED552D48D5</vt:lpwstr>
  </property>
  <property fmtid="{D5CDD505-2E9C-101B-9397-08002B2CF9AE}" pid="6" name="MediaServiceImageTags">
    <vt:lpwstr/>
  </property>
  <property fmtid="{D5CDD505-2E9C-101B-9397-08002B2CF9AE}" pid="7" name="Document Type">
    <vt:lpwstr/>
  </property>
</Properties>
</file>